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745A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Новокраснянского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</w:t>
      </w:r>
      <w:r w:rsidR="00745A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2021г.</w:t>
      </w:r>
    </w:p>
    <w:p w:rsidR="00745A1A" w:rsidRPr="00886D12" w:rsidRDefault="00FE4F05" w:rsidP="00745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5A1A" w:rsidRPr="00886D12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745A1A" w:rsidRPr="00886D1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Контрольно-счетной комиссией </w:t>
      </w:r>
      <w:proofErr w:type="spellStart"/>
      <w:r w:rsidR="00745A1A" w:rsidRPr="00886D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</w:t>
      </w:r>
      <w:proofErr w:type="spellStart"/>
      <w:r w:rsidR="00745A1A">
        <w:rPr>
          <w:rFonts w:ascii="Times New Roman" w:hAnsi="Times New Roman" w:cs="Times New Roman"/>
          <w:sz w:val="28"/>
          <w:szCs w:val="28"/>
        </w:rPr>
        <w:t>Новокраснянским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 w:rsidR="00745A1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МО от 24.01.2017 №72-134, пункта 1.3. Соглашения о передаче Контрольно-счетной комиссии </w:t>
      </w:r>
      <w:proofErr w:type="spellStart"/>
      <w:r w:rsidR="00745A1A" w:rsidRPr="00886D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="00745A1A" w:rsidRPr="00886D1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№7 от 01.11.2014г.</w:t>
      </w:r>
    </w:p>
    <w:p w:rsidR="00745A1A" w:rsidRPr="00E319BE" w:rsidRDefault="00745A1A" w:rsidP="00745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745A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745A1A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745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745A1A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745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745A1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745A1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Объектом внешней проверки выступает администрация </w:t>
      </w:r>
      <w:proofErr w:type="spellStart"/>
      <w:r w:rsidR="00745A1A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proofErr w:type="spellStart"/>
      <w:r w:rsidR="00736FAD">
        <w:rPr>
          <w:rFonts w:ascii="Times New Roman" w:hAnsi="Times New Roman" w:cs="Times New Roman"/>
          <w:sz w:val="28"/>
          <w:szCs w:val="28"/>
        </w:rPr>
        <w:t>Новокранянского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36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19-53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010951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20г. №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75; от 27.10.2020г. №32-77;</w:t>
      </w:r>
      <w:proofErr w:type="gramEnd"/>
      <w:r w:rsidR="00010951">
        <w:rPr>
          <w:rFonts w:ascii="Times New Roman" w:hAnsi="Times New Roman" w:cs="Times New Roman"/>
          <w:color w:val="000000"/>
          <w:sz w:val="28"/>
          <w:szCs w:val="28"/>
        </w:rPr>
        <w:t xml:space="preserve"> от 30.11.2020г. №35-83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, что соответствует срокам,</w:t>
      </w:r>
      <w:r w:rsidR="00362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о бюджете на соответствующий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8A384F">
        <w:rPr>
          <w:rFonts w:ascii="Times New Roman" w:hAnsi="Times New Roman" w:cs="Times New Roman"/>
          <w:sz w:val="28"/>
          <w:szCs w:val="28"/>
        </w:rPr>
        <w:t>161,8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8A384F">
        <w:rPr>
          <w:rFonts w:ascii="Times New Roman" w:hAnsi="Times New Roman" w:cs="Times New Roman"/>
          <w:sz w:val="28"/>
          <w:szCs w:val="28"/>
        </w:rPr>
        <w:t>13640,5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8A384F">
        <w:rPr>
          <w:rFonts w:ascii="Times New Roman" w:hAnsi="Times New Roman" w:cs="Times New Roman"/>
          <w:sz w:val="28"/>
          <w:szCs w:val="28"/>
        </w:rPr>
        <w:t>724,7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8A384F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A384F">
        <w:rPr>
          <w:rFonts w:ascii="Times New Roman" w:hAnsi="Times New Roman" w:cs="Times New Roman"/>
          <w:sz w:val="28"/>
          <w:szCs w:val="28"/>
        </w:rPr>
        <w:t>167,1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A06BC7" w:rsidRPr="00F825AB">
        <w:rPr>
          <w:rFonts w:ascii="Times New Roman" w:hAnsi="Times New Roman" w:cs="Times New Roman"/>
          <w:sz w:val="28"/>
          <w:szCs w:val="28"/>
        </w:rPr>
        <w:t>19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8A384F">
        <w:rPr>
          <w:rFonts w:ascii="Times New Roman" w:hAnsi="Times New Roman" w:cs="Times New Roman"/>
          <w:sz w:val="28"/>
          <w:szCs w:val="28"/>
        </w:rPr>
        <w:t>303,22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384F">
        <w:rPr>
          <w:rFonts w:ascii="Times New Roman" w:hAnsi="Times New Roman" w:cs="Times New Roman"/>
          <w:sz w:val="28"/>
          <w:szCs w:val="28"/>
        </w:rPr>
        <w:t>я</w:t>
      </w:r>
      <w:r w:rsidRPr="00F825AB">
        <w:rPr>
          <w:rFonts w:ascii="Times New Roman" w:hAnsi="Times New Roman" w:cs="Times New Roman"/>
          <w:sz w:val="28"/>
          <w:szCs w:val="28"/>
        </w:rPr>
        <w:t xml:space="preserve"> (у</w:t>
      </w:r>
      <w:r w:rsidR="008A384F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8A384F">
        <w:rPr>
          <w:rFonts w:ascii="Times New Roman" w:hAnsi="Times New Roman" w:cs="Times New Roman"/>
          <w:sz w:val="28"/>
          <w:szCs w:val="28"/>
        </w:rPr>
        <w:t>5,2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</w:t>
      </w:r>
      <w:r w:rsidR="008A384F">
        <w:rPr>
          <w:rFonts w:ascii="Times New Roman" w:hAnsi="Times New Roman" w:cs="Times New Roman"/>
          <w:sz w:val="28"/>
          <w:szCs w:val="28"/>
        </w:rPr>
        <w:t>12915,6 тыс</w:t>
      </w:r>
      <w:proofErr w:type="gramStart"/>
      <w:r w:rsidR="008A38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384F">
        <w:rPr>
          <w:rFonts w:ascii="Times New Roman" w:hAnsi="Times New Roman" w:cs="Times New Roman"/>
          <w:sz w:val="28"/>
          <w:szCs w:val="28"/>
        </w:rPr>
        <w:t>ублей</w:t>
      </w:r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32617">
        <w:rPr>
          <w:rFonts w:ascii="Times New Roman" w:hAnsi="Times New Roman" w:cs="Times New Roman"/>
          <w:sz w:val="28"/>
          <w:szCs w:val="28"/>
        </w:rPr>
        <w:t>186,9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32617">
        <w:rPr>
          <w:rFonts w:ascii="Times New Roman" w:hAnsi="Times New Roman" w:cs="Times New Roman"/>
          <w:sz w:val="28"/>
          <w:szCs w:val="28"/>
        </w:rPr>
        <w:t>4118,4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сложились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232617">
        <w:rPr>
          <w:rFonts w:ascii="Times New Roman" w:hAnsi="Times New Roman" w:cs="Times New Roman"/>
          <w:sz w:val="28"/>
          <w:szCs w:val="28"/>
        </w:rPr>
        <w:t xml:space="preserve">выплатам </w:t>
      </w:r>
      <w:r w:rsidRPr="00F825AB">
        <w:rPr>
          <w:rFonts w:ascii="Times New Roman" w:hAnsi="Times New Roman" w:cs="Times New Roman"/>
          <w:sz w:val="28"/>
          <w:szCs w:val="28"/>
        </w:rPr>
        <w:t>на 01 января 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232617">
        <w:rPr>
          <w:rFonts w:ascii="Times New Roman" w:hAnsi="Times New Roman" w:cs="Times New Roman"/>
          <w:sz w:val="28"/>
          <w:szCs w:val="28"/>
        </w:rPr>
        <w:t>15,8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32617">
        <w:rPr>
          <w:rFonts w:ascii="Times New Roman" w:hAnsi="Times New Roman" w:cs="Times New Roman"/>
          <w:sz w:val="28"/>
          <w:szCs w:val="28"/>
        </w:rPr>
        <w:t>19,6 тыс. рублей, расчеты по платежам в бюджет составили 74,9 тыс</w:t>
      </w:r>
      <w:proofErr w:type="gramStart"/>
      <w:r w:rsidR="002326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2617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32617">
        <w:rPr>
          <w:rFonts w:ascii="Times New Roman" w:hAnsi="Times New Roman" w:cs="Times New Roman"/>
          <w:sz w:val="28"/>
          <w:szCs w:val="28"/>
        </w:rPr>
        <w:t>13656,3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232617">
        <w:rPr>
          <w:rFonts w:ascii="Times New Roman" w:hAnsi="Times New Roman" w:cs="Times New Roman"/>
          <w:sz w:val="28"/>
          <w:szCs w:val="28"/>
        </w:rPr>
        <w:t>13561,9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232617">
        <w:rPr>
          <w:rFonts w:ascii="Times New Roman" w:hAnsi="Times New Roman" w:cs="Times New Roman"/>
          <w:sz w:val="28"/>
          <w:szCs w:val="28"/>
        </w:rPr>
        <w:t>97,5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D86378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4363,5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95,1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378">
        <w:rPr>
          <w:rFonts w:ascii="Times New Roman" w:hAnsi="Times New Roman" w:cs="Times New Roman"/>
          <w:color w:val="000000"/>
          <w:sz w:val="28"/>
          <w:szCs w:val="28"/>
        </w:rPr>
        <w:t>4152,6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D86378">
        <w:rPr>
          <w:rFonts w:ascii="Times New Roman" w:hAnsi="Times New Roman" w:cs="Times New Roman"/>
          <w:color w:val="000000"/>
          <w:sz w:val="28"/>
          <w:szCs w:val="28"/>
        </w:rPr>
        <w:t>210,9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D86378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D86378">
        <w:rPr>
          <w:rFonts w:ascii="Times New Roman" w:hAnsi="Times New Roman" w:cs="Times New Roman"/>
          <w:color w:val="000000"/>
          <w:sz w:val="28"/>
          <w:szCs w:val="28"/>
        </w:rPr>
        <w:t>19,6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1г. составляет </w:t>
      </w:r>
      <w:r w:rsidR="00D86378">
        <w:rPr>
          <w:rFonts w:ascii="Times New Roman" w:hAnsi="Times New Roman" w:cs="Times New Roman"/>
          <w:color w:val="000000"/>
          <w:sz w:val="28"/>
          <w:szCs w:val="28"/>
        </w:rPr>
        <w:t>15,8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9C461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9C461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9C4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Новокраснянского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9C461F">
        <w:rPr>
          <w:rFonts w:ascii="Times New Roman" w:hAnsi="Times New Roman" w:cs="Times New Roman"/>
          <w:color w:val="0D0D0D"/>
          <w:sz w:val="28"/>
          <w:szCs w:val="28"/>
        </w:rPr>
        <w:t>Новокраснянского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  <w:r w:rsidR="009C461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9C461F">
        <w:rPr>
          <w:rFonts w:ascii="Times New Roman" w:hAnsi="Times New Roman" w:cs="Times New Roman"/>
          <w:color w:val="0D0D0D"/>
          <w:sz w:val="28"/>
          <w:szCs w:val="28"/>
        </w:rPr>
        <w:t>Новокраснянского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9C461F">
        <w:rPr>
          <w:rFonts w:ascii="Times New Roman" w:hAnsi="Times New Roman" w:cs="Times New Roman"/>
          <w:color w:val="0D0D0D"/>
          <w:sz w:val="28"/>
          <w:szCs w:val="28"/>
        </w:rPr>
        <w:t>19-53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9C461F">
        <w:rPr>
          <w:rFonts w:ascii="Times New Roman" w:hAnsi="Times New Roman" w:cs="Times New Roman"/>
          <w:color w:val="0D0D0D"/>
          <w:sz w:val="28"/>
          <w:szCs w:val="28"/>
        </w:rPr>
        <w:t>Новокраснянского</w:t>
      </w:r>
      <w:proofErr w:type="spellEnd"/>
      <w:r w:rsidR="009C461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9C461F">
        <w:rPr>
          <w:rFonts w:ascii="Times New Roman" w:hAnsi="Times New Roman" w:cs="Times New Roman"/>
          <w:color w:val="0D0D0D"/>
          <w:sz w:val="28"/>
          <w:szCs w:val="28"/>
        </w:rPr>
        <w:t>3190,4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31</w:t>
      </w:r>
      <w:r w:rsidR="009C461F">
        <w:rPr>
          <w:rFonts w:ascii="Times New Roman" w:hAnsi="Times New Roman" w:cs="Times New Roman"/>
          <w:color w:val="0D0D0D"/>
          <w:sz w:val="28"/>
          <w:szCs w:val="28"/>
        </w:rPr>
        <w:t>90,4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D92B31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1223,7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38,4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1397,3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43,8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F01F95">
        <w:rPr>
          <w:rFonts w:ascii="Times New Roman" w:hAnsi="Times New Roman" w:cs="Times New Roman"/>
          <w:color w:val="0D0D0D"/>
          <w:sz w:val="28"/>
          <w:szCs w:val="28"/>
        </w:rPr>
        <w:t>4414,1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F01F95">
        <w:rPr>
          <w:rFonts w:ascii="Times New Roman" w:hAnsi="Times New Roman" w:cs="Times New Roman"/>
          <w:color w:val="0D0D0D"/>
          <w:sz w:val="28"/>
          <w:szCs w:val="28"/>
        </w:rPr>
        <w:t>4587,7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F01F95">
        <w:rPr>
          <w:rFonts w:ascii="Times New Roman" w:hAnsi="Times New Roman" w:cs="Times New Roman"/>
          <w:color w:val="0D0D0D"/>
          <w:sz w:val="28"/>
          <w:szCs w:val="28"/>
        </w:rPr>
        <w:t>173,6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</w:t>
      </w:r>
      <w:r w:rsidR="00F01F95">
        <w:rPr>
          <w:rFonts w:ascii="Times New Roman" w:hAnsi="Times New Roman" w:cs="Times New Roman"/>
          <w:color w:val="000000"/>
          <w:sz w:val="28"/>
          <w:szCs w:val="28"/>
        </w:rPr>
        <w:t xml:space="preserve"> 3992,5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F01F95">
        <w:rPr>
          <w:rFonts w:ascii="Times New Roman" w:hAnsi="Times New Roman" w:cs="Times New Roman"/>
          <w:color w:val="000000"/>
          <w:sz w:val="28"/>
          <w:szCs w:val="28"/>
        </w:rPr>
        <w:t>90,4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F01F95">
        <w:rPr>
          <w:rFonts w:ascii="Times New Roman" w:hAnsi="Times New Roman" w:cs="Times New Roman"/>
          <w:color w:val="000000"/>
          <w:sz w:val="28"/>
          <w:szCs w:val="28"/>
        </w:rPr>
        <w:t>4152,6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F01F95">
        <w:rPr>
          <w:rFonts w:ascii="Times New Roman" w:hAnsi="Times New Roman" w:cs="Times New Roman"/>
          <w:color w:val="000000"/>
          <w:sz w:val="28"/>
          <w:szCs w:val="28"/>
        </w:rPr>
        <w:t>90,5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E16128">
        <w:rPr>
          <w:rFonts w:ascii="Times New Roman" w:hAnsi="Times New Roman" w:cs="Times New Roman"/>
          <w:sz w:val="28"/>
          <w:szCs w:val="28"/>
        </w:rPr>
        <w:t>дефицит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F01F95">
        <w:rPr>
          <w:rFonts w:ascii="Times New Roman" w:hAnsi="Times New Roman" w:cs="Times New Roman"/>
          <w:sz w:val="28"/>
          <w:szCs w:val="28"/>
        </w:rPr>
        <w:t>160,1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FB2D06" w:rsidRPr="009F102F" w:rsidRDefault="00FB2D06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06" w:rsidRDefault="00FB2D06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06" w:rsidRDefault="00FB2D06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06" w:rsidRDefault="00FB2D06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06" w:rsidRDefault="00FB2D06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06" w:rsidRDefault="00FB2D06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06" w:rsidRDefault="00FB2D06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06" w:rsidRDefault="00FB2D06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2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параметры бюджета </w:t>
      </w:r>
      <w:proofErr w:type="spellStart"/>
      <w:r w:rsidR="00D87EE1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3190,4</w:t>
            </w:r>
          </w:p>
        </w:tc>
        <w:tc>
          <w:tcPr>
            <w:tcW w:w="1418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4414,1</w:t>
            </w:r>
          </w:p>
        </w:tc>
        <w:tc>
          <w:tcPr>
            <w:tcW w:w="1275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3992,5</w:t>
            </w:r>
          </w:p>
        </w:tc>
        <w:tc>
          <w:tcPr>
            <w:tcW w:w="1070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589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-421,5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2173,9</w:t>
            </w:r>
          </w:p>
        </w:tc>
        <w:tc>
          <w:tcPr>
            <w:tcW w:w="1418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2173,9</w:t>
            </w:r>
          </w:p>
        </w:tc>
        <w:tc>
          <w:tcPr>
            <w:tcW w:w="1275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1752,3</w:t>
            </w:r>
          </w:p>
        </w:tc>
        <w:tc>
          <w:tcPr>
            <w:tcW w:w="1070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1589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-421,6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1016,5</w:t>
            </w:r>
          </w:p>
        </w:tc>
        <w:tc>
          <w:tcPr>
            <w:tcW w:w="1418" w:type="dxa"/>
          </w:tcPr>
          <w:p w:rsidR="00144DED" w:rsidRDefault="00957095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2240,2</w:t>
            </w:r>
          </w:p>
        </w:tc>
        <w:tc>
          <w:tcPr>
            <w:tcW w:w="1275" w:type="dxa"/>
          </w:tcPr>
          <w:p w:rsidR="00B466AE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2240,2</w:t>
            </w:r>
          </w:p>
        </w:tc>
        <w:tc>
          <w:tcPr>
            <w:tcW w:w="1070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957095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957095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3190,4</w:t>
            </w:r>
          </w:p>
        </w:tc>
        <w:tc>
          <w:tcPr>
            <w:tcW w:w="1418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4587,7</w:t>
            </w:r>
          </w:p>
        </w:tc>
        <w:tc>
          <w:tcPr>
            <w:tcW w:w="1275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4152,6</w:t>
            </w:r>
          </w:p>
        </w:tc>
        <w:tc>
          <w:tcPr>
            <w:tcW w:w="1070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589" w:type="dxa"/>
          </w:tcPr>
          <w:p w:rsidR="00144DED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-435,1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-173,6</w:t>
            </w:r>
          </w:p>
        </w:tc>
        <w:tc>
          <w:tcPr>
            <w:tcW w:w="1275" w:type="dxa"/>
          </w:tcPr>
          <w:p w:rsidR="00867AD5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-160,5</w:t>
            </w:r>
          </w:p>
        </w:tc>
        <w:tc>
          <w:tcPr>
            <w:tcW w:w="1070" w:type="dxa"/>
          </w:tcPr>
          <w:p w:rsidR="00867AD5" w:rsidRDefault="0095709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589" w:type="dxa"/>
          </w:tcPr>
          <w:p w:rsidR="00867AD5" w:rsidRDefault="00E2611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7068DC">
        <w:rPr>
          <w:rFonts w:ascii="Times New Roman" w:hAnsi="Times New Roman" w:cs="Times New Roman"/>
          <w:sz w:val="28"/>
          <w:szCs w:val="28"/>
        </w:rPr>
        <w:t>1752,3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7068DC">
        <w:rPr>
          <w:rFonts w:ascii="Times New Roman" w:hAnsi="Times New Roman" w:cs="Times New Roman"/>
          <w:sz w:val="28"/>
          <w:szCs w:val="28"/>
        </w:rPr>
        <w:t xml:space="preserve">2240,2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7068DC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2173,9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2173,9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1752,3</w:t>
            </w:r>
          </w:p>
        </w:tc>
        <w:tc>
          <w:tcPr>
            <w:tcW w:w="1559" w:type="dxa"/>
          </w:tcPr>
          <w:p w:rsidR="00C80913" w:rsidRPr="00CD69C2" w:rsidRDefault="0026554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-421,6</w:t>
            </w:r>
          </w:p>
        </w:tc>
        <w:tc>
          <w:tcPr>
            <w:tcW w:w="1276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099" w:type="dxa"/>
          </w:tcPr>
          <w:p w:rsidR="00C80913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2150,9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2150,9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1728,3</w:t>
            </w:r>
          </w:p>
        </w:tc>
        <w:tc>
          <w:tcPr>
            <w:tcW w:w="1559" w:type="dxa"/>
          </w:tcPr>
          <w:p w:rsidR="00C80913" w:rsidRPr="00CD69C2" w:rsidRDefault="0026554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-422,6</w:t>
            </w:r>
          </w:p>
        </w:tc>
        <w:tc>
          <w:tcPr>
            <w:tcW w:w="1276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099" w:type="dxa"/>
          </w:tcPr>
          <w:p w:rsidR="00C80913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43,3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834,1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805,8</w:t>
            </w:r>
          </w:p>
        </w:tc>
        <w:tc>
          <w:tcPr>
            <w:tcW w:w="1559" w:type="dxa"/>
          </w:tcPr>
          <w:p w:rsidR="00C80913" w:rsidRPr="00CD69C2" w:rsidRDefault="0026554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-28,3</w:t>
            </w:r>
          </w:p>
        </w:tc>
        <w:tc>
          <w:tcPr>
            <w:tcW w:w="1276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099" w:type="dxa"/>
          </w:tcPr>
          <w:p w:rsidR="00C80913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0913" w:rsidRPr="00CD69C2" w:rsidRDefault="0026554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80913" w:rsidRPr="008B2E2C" w:rsidRDefault="009A4120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1217,1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1217,1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1559" w:type="dxa"/>
          </w:tcPr>
          <w:p w:rsidR="00C80913" w:rsidRPr="00CD69C2" w:rsidRDefault="0026554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-297,3</w:t>
            </w:r>
          </w:p>
        </w:tc>
        <w:tc>
          <w:tcPr>
            <w:tcW w:w="1276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099" w:type="dxa"/>
          </w:tcPr>
          <w:p w:rsidR="00C80913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</w:tcPr>
          <w:p w:rsidR="00C80913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276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99" w:type="dxa"/>
          </w:tcPr>
          <w:p w:rsidR="00C80913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</w:tcPr>
          <w:p w:rsidR="00C80913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099" w:type="dxa"/>
          </w:tcPr>
          <w:p w:rsidR="00C80913" w:rsidRPr="00270A9D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</w:tcPr>
          <w:p w:rsidR="00C80913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80913" w:rsidRPr="00CD69C2" w:rsidRDefault="002D233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099" w:type="dxa"/>
          </w:tcPr>
          <w:p w:rsidR="00C80913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1016,5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2240,2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2240,2</w:t>
            </w:r>
          </w:p>
        </w:tc>
        <w:tc>
          <w:tcPr>
            <w:tcW w:w="1559" w:type="dxa"/>
          </w:tcPr>
          <w:p w:rsidR="00C80913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559" w:type="dxa"/>
          </w:tcPr>
          <w:p w:rsidR="00C80913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4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59" w:type="dxa"/>
          </w:tcPr>
          <w:p w:rsidR="00C80913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226A" w:rsidTr="00E23417">
        <w:tc>
          <w:tcPr>
            <w:tcW w:w="2235" w:type="dxa"/>
          </w:tcPr>
          <w:p w:rsidR="006E226A" w:rsidRPr="00B044B5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134" w:type="dxa"/>
          </w:tcPr>
          <w:p w:rsidR="006E226A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6A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1150,6</w:t>
            </w:r>
          </w:p>
        </w:tc>
        <w:tc>
          <w:tcPr>
            <w:tcW w:w="1134" w:type="dxa"/>
          </w:tcPr>
          <w:p w:rsidR="006E226A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1150,6</w:t>
            </w:r>
          </w:p>
        </w:tc>
        <w:tc>
          <w:tcPr>
            <w:tcW w:w="1559" w:type="dxa"/>
          </w:tcPr>
          <w:p w:rsidR="006E226A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226A" w:rsidRPr="00CD69C2" w:rsidRDefault="006E2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6E226A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1134" w:type="dxa"/>
          </w:tcPr>
          <w:p w:rsidR="00C80913" w:rsidRPr="00CD69C2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1134" w:type="dxa"/>
          </w:tcPr>
          <w:p w:rsidR="00C80913" w:rsidRPr="00CD69C2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1559" w:type="dxa"/>
          </w:tcPr>
          <w:p w:rsidR="00C80913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555BB8" w:rsidTr="00E23417">
        <w:tc>
          <w:tcPr>
            <w:tcW w:w="2235" w:type="dxa"/>
          </w:tcPr>
          <w:p w:rsidR="00555BB8" w:rsidRPr="00B044B5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</w:tcPr>
          <w:p w:rsidR="00555BB8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5BB8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</w:tcPr>
          <w:p w:rsidR="00555BB8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59" w:type="dxa"/>
          </w:tcPr>
          <w:p w:rsidR="00555BB8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5BB8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555BB8" w:rsidRPr="008B2E2C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3190,4</w:t>
            </w:r>
          </w:p>
        </w:tc>
        <w:tc>
          <w:tcPr>
            <w:tcW w:w="1134" w:type="dxa"/>
          </w:tcPr>
          <w:p w:rsidR="00C80913" w:rsidRPr="00CD69C2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4414,1</w:t>
            </w:r>
          </w:p>
        </w:tc>
        <w:tc>
          <w:tcPr>
            <w:tcW w:w="1134" w:type="dxa"/>
          </w:tcPr>
          <w:p w:rsidR="00C80913" w:rsidRPr="00CD69C2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3992,5</w:t>
            </w:r>
          </w:p>
        </w:tc>
        <w:tc>
          <w:tcPr>
            <w:tcW w:w="1559" w:type="dxa"/>
          </w:tcPr>
          <w:p w:rsidR="00C80913" w:rsidRPr="00CD69C2" w:rsidRDefault="0041751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-421,6</w:t>
            </w:r>
          </w:p>
        </w:tc>
        <w:tc>
          <w:tcPr>
            <w:tcW w:w="1276" w:type="dxa"/>
          </w:tcPr>
          <w:p w:rsidR="00C80913" w:rsidRPr="00CD69C2" w:rsidRDefault="00555BB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099" w:type="dxa"/>
          </w:tcPr>
          <w:p w:rsidR="00C80913" w:rsidRPr="009A4120" w:rsidRDefault="009A412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2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B16">
        <w:rPr>
          <w:rFonts w:ascii="Times New Roman" w:hAnsi="Times New Roman" w:cs="Times New Roman"/>
          <w:sz w:val="28"/>
          <w:szCs w:val="28"/>
        </w:rPr>
        <w:t>Анализ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Pr="00FD53EE" w:rsidRDefault="000D787D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805,8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96,6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834,1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919,8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1217,1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75,6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 или</w:t>
      </w:r>
    </w:p>
    <w:p w:rsidR="00FD53EE" w:rsidRPr="00FD53EE" w:rsidRDefault="000D787D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при запланированной сумме 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 xml:space="preserve">налог на имущество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919,8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доходы физических лиц 20,2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805,7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CE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>2240,2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 xml:space="preserve"> или 100% к плану.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>86,3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CE6DD6">
        <w:rPr>
          <w:rFonts w:ascii="Times New Roman" w:hAnsi="Times New Roman" w:cs="Times New Roman"/>
          <w:color w:val="0D0D0D"/>
          <w:sz w:val="28"/>
          <w:szCs w:val="28"/>
        </w:rPr>
        <w:t>2,2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>90,9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100%.</w:t>
      </w:r>
    </w:p>
    <w:p w:rsidR="00CE6DD6" w:rsidRPr="00CE6DD6" w:rsidRDefault="00CE6DD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E6DD6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Субсидии  бюджетам субъектам РФ </w:t>
      </w:r>
      <w:r>
        <w:rPr>
          <w:rFonts w:ascii="Times New Roman" w:hAnsi="Times New Roman" w:cs="Times New Roman"/>
          <w:color w:val="0D0D0D"/>
          <w:sz w:val="28"/>
          <w:szCs w:val="28"/>
        </w:rPr>
        <w:t>исполнены в объеме 100% и составили 1150,6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>849,2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proofErr w:type="gramStart"/>
      <w:r w:rsidR="00CE6D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меют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целевое назначение, исполнены в объеме 100% и переданы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CE6DD6" w:rsidRPr="00FD53EE" w:rsidRDefault="00CE6DD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6DD6">
        <w:rPr>
          <w:rFonts w:ascii="Times New Roman" w:hAnsi="Times New Roman" w:cs="Times New Roman"/>
          <w:i/>
          <w:color w:val="000000"/>
          <w:sz w:val="28"/>
          <w:szCs w:val="28"/>
        </w:rPr>
        <w:t>Прочие безвозмездные поступления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объеме 100% или 63,2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CE6DD6">
        <w:rPr>
          <w:rFonts w:ascii="Times New Roman" w:hAnsi="Times New Roman" w:cs="Times New Roman"/>
          <w:color w:val="0D0D0D"/>
          <w:sz w:val="28"/>
          <w:szCs w:val="28"/>
        </w:rPr>
        <w:t>56,1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CE6DD6">
        <w:rPr>
          <w:rFonts w:ascii="Times New Roman" w:hAnsi="Times New Roman" w:cs="Times New Roman"/>
          <w:color w:val="0D0D0D"/>
          <w:sz w:val="28"/>
          <w:szCs w:val="28"/>
        </w:rPr>
        <w:t>28,8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E6DD6">
        <w:rPr>
          <w:rFonts w:ascii="Times New Roman" w:hAnsi="Times New Roman" w:cs="Times New Roman"/>
          <w:color w:val="0D0D0D"/>
          <w:sz w:val="28"/>
          <w:szCs w:val="28"/>
        </w:rPr>
        <w:t>субсидии 1150,6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CE6DD6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>3992,5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>90,4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proofErr w:type="spellStart"/>
      <w:r w:rsidR="0040431C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4F0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4F0928">
        <w:rPr>
          <w:rFonts w:ascii="Times New Roman" w:hAnsi="Times New Roman" w:cs="Times New Roman"/>
          <w:color w:val="000000"/>
          <w:sz w:val="28"/>
          <w:szCs w:val="28"/>
        </w:rPr>
        <w:t>4587,7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4F0928">
        <w:rPr>
          <w:rFonts w:ascii="Times New Roman" w:hAnsi="Times New Roman" w:cs="Times New Roman"/>
          <w:color w:val="000000"/>
          <w:sz w:val="28"/>
          <w:szCs w:val="28"/>
        </w:rPr>
        <w:t>4152,6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4F0928">
        <w:rPr>
          <w:rFonts w:ascii="Times New Roman" w:hAnsi="Times New Roman" w:cs="Times New Roman"/>
          <w:color w:val="000000"/>
          <w:sz w:val="28"/>
          <w:szCs w:val="28"/>
        </w:rPr>
        <w:t>90,5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4F0928">
        <w:rPr>
          <w:rFonts w:ascii="Times New Roman" w:hAnsi="Times New Roman" w:cs="Times New Roman"/>
          <w:color w:val="0D0D0D"/>
          <w:sz w:val="28"/>
          <w:szCs w:val="28"/>
        </w:rPr>
        <w:t>1397,3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4F0928">
        <w:rPr>
          <w:rFonts w:ascii="Times New Roman" w:hAnsi="Times New Roman" w:cs="Times New Roman"/>
          <w:color w:val="0D0D0D"/>
          <w:sz w:val="28"/>
          <w:szCs w:val="28"/>
        </w:rPr>
        <w:t>43,8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0774A3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A3">
              <w:rPr>
                <w:rFonts w:ascii="Times New Roman" w:hAnsi="Times New Roman" w:cs="Times New Roman"/>
                <w:b/>
                <w:sz w:val="24"/>
                <w:szCs w:val="24"/>
              </w:rPr>
              <w:t>3190,4</w:t>
            </w:r>
          </w:p>
        </w:tc>
        <w:tc>
          <w:tcPr>
            <w:tcW w:w="992" w:type="dxa"/>
          </w:tcPr>
          <w:p w:rsidR="007E22A7" w:rsidRPr="000774A3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A3">
              <w:rPr>
                <w:rFonts w:ascii="Times New Roman" w:hAnsi="Times New Roman" w:cs="Times New Roman"/>
                <w:b/>
                <w:sz w:val="24"/>
                <w:szCs w:val="24"/>
              </w:rPr>
              <w:t>4587,7</w:t>
            </w:r>
          </w:p>
        </w:tc>
        <w:tc>
          <w:tcPr>
            <w:tcW w:w="993" w:type="dxa"/>
          </w:tcPr>
          <w:p w:rsidR="007E22A7" w:rsidRPr="000774A3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A3">
              <w:rPr>
                <w:rFonts w:ascii="Times New Roman" w:hAnsi="Times New Roman" w:cs="Times New Roman"/>
                <w:b/>
                <w:sz w:val="24"/>
                <w:szCs w:val="24"/>
              </w:rPr>
              <w:t>4152,6</w:t>
            </w:r>
          </w:p>
        </w:tc>
        <w:tc>
          <w:tcPr>
            <w:tcW w:w="1134" w:type="dxa"/>
          </w:tcPr>
          <w:p w:rsidR="007E22A7" w:rsidRPr="000774A3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A3">
              <w:rPr>
                <w:rFonts w:ascii="Times New Roman" w:hAnsi="Times New Roman" w:cs="Times New Roman"/>
                <w:b/>
                <w:sz w:val="24"/>
                <w:szCs w:val="24"/>
              </w:rPr>
              <w:t>-435,1</w:t>
            </w:r>
          </w:p>
        </w:tc>
        <w:tc>
          <w:tcPr>
            <w:tcW w:w="850" w:type="dxa"/>
          </w:tcPr>
          <w:p w:rsidR="007E22A7" w:rsidRPr="000774A3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A3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1099" w:type="dxa"/>
          </w:tcPr>
          <w:p w:rsidR="007E22A7" w:rsidRPr="000774A3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4A3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2015,7</w:t>
            </w:r>
          </w:p>
        </w:tc>
        <w:tc>
          <w:tcPr>
            <w:tcW w:w="992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1942,8</w:t>
            </w:r>
          </w:p>
        </w:tc>
        <w:tc>
          <w:tcPr>
            <w:tcW w:w="993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1679,5</w:t>
            </w:r>
          </w:p>
        </w:tc>
        <w:tc>
          <w:tcPr>
            <w:tcW w:w="1134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-263,3</w:t>
            </w:r>
          </w:p>
        </w:tc>
        <w:tc>
          <w:tcPr>
            <w:tcW w:w="850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99" w:type="dxa"/>
          </w:tcPr>
          <w:p w:rsidR="007E22A7" w:rsidRPr="00134D54" w:rsidRDefault="006472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54">
              <w:rPr>
                <w:rFonts w:ascii="Times New Roman" w:hAnsi="Times New Roman" w:cs="Times New Roman"/>
                <w:b/>
                <w:sz w:val="28"/>
                <w:szCs w:val="28"/>
              </w:rPr>
              <w:t>40,4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992" w:type="dxa"/>
          </w:tcPr>
          <w:p w:rsidR="007E22A7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993" w:type="dxa"/>
          </w:tcPr>
          <w:p w:rsidR="007E22A7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</w:tc>
        <w:tc>
          <w:tcPr>
            <w:tcW w:w="1134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-57,8</w:t>
            </w:r>
          </w:p>
        </w:tc>
        <w:tc>
          <w:tcPr>
            <w:tcW w:w="850" w:type="dxa"/>
          </w:tcPr>
          <w:p w:rsidR="007E22A7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099" w:type="dxa"/>
          </w:tcPr>
          <w:p w:rsidR="007E22A7" w:rsidRPr="00644861" w:rsidRDefault="006472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E73793" w:rsidRDefault="004F0928" w:rsidP="004F0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E73793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73793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850" w:type="dxa"/>
          </w:tcPr>
          <w:p w:rsidR="00E73793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9" w:type="dxa"/>
          </w:tcPr>
          <w:p w:rsidR="00E73793" w:rsidRPr="00134D54" w:rsidRDefault="006472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1271,3</w:t>
            </w:r>
          </w:p>
        </w:tc>
        <w:tc>
          <w:tcPr>
            <w:tcW w:w="992" w:type="dxa"/>
          </w:tcPr>
          <w:p w:rsidR="00E73793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1198,3</w:t>
            </w:r>
          </w:p>
        </w:tc>
        <w:tc>
          <w:tcPr>
            <w:tcW w:w="993" w:type="dxa"/>
          </w:tcPr>
          <w:p w:rsidR="00E73793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994,3</w:t>
            </w:r>
          </w:p>
        </w:tc>
        <w:tc>
          <w:tcPr>
            <w:tcW w:w="1134" w:type="dxa"/>
          </w:tcPr>
          <w:p w:rsidR="00E73793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-204,0</w:t>
            </w:r>
          </w:p>
        </w:tc>
        <w:tc>
          <w:tcPr>
            <w:tcW w:w="850" w:type="dxa"/>
          </w:tcPr>
          <w:p w:rsidR="00E73793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99" w:type="dxa"/>
          </w:tcPr>
          <w:p w:rsidR="00E73793" w:rsidRPr="00134D54" w:rsidRDefault="006472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D54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3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99" w:type="dxa"/>
          </w:tcPr>
          <w:p w:rsidR="007E22A7" w:rsidRPr="00134D54" w:rsidRDefault="006472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54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992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</w:t>
            </w:r>
          </w:p>
        </w:tc>
        <w:tc>
          <w:tcPr>
            <w:tcW w:w="993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849,2</w:t>
            </w:r>
          </w:p>
        </w:tc>
        <w:tc>
          <w:tcPr>
            <w:tcW w:w="1134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  <w:tc>
          <w:tcPr>
            <w:tcW w:w="850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99" w:type="dxa"/>
          </w:tcPr>
          <w:p w:rsidR="007E22A7" w:rsidRPr="00134D54" w:rsidRDefault="006472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54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4F092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244,5</w:t>
            </w:r>
          </w:p>
        </w:tc>
        <w:tc>
          <w:tcPr>
            <w:tcW w:w="992" w:type="dxa"/>
          </w:tcPr>
          <w:p w:rsidR="007E22A7" w:rsidRPr="00CD69C2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1604,7</w:t>
            </w:r>
          </w:p>
        </w:tc>
        <w:tc>
          <w:tcPr>
            <w:tcW w:w="993" w:type="dxa"/>
          </w:tcPr>
          <w:p w:rsidR="007E22A7" w:rsidRPr="00CD69C2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1531,8</w:t>
            </w:r>
          </w:p>
        </w:tc>
        <w:tc>
          <w:tcPr>
            <w:tcW w:w="1134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-72,9</w:t>
            </w:r>
          </w:p>
        </w:tc>
        <w:tc>
          <w:tcPr>
            <w:tcW w:w="850" w:type="dxa"/>
          </w:tcPr>
          <w:p w:rsidR="007E22A7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99" w:type="dxa"/>
          </w:tcPr>
          <w:p w:rsidR="007E22A7" w:rsidRPr="00134D54" w:rsidRDefault="0064726B" w:rsidP="0013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54">
              <w:rPr>
                <w:rFonts w:ascii="Times New Roman" w:hAnsi="Times New Roman" w:cs="Times New Roman"/>
                <w:b/>
                <w:sz w:val="24"/>
                <w:szCs w:val="24"/>
              </w:rPr>
              <w:t>36,</w:t>
            </w:r>
            <w:r w:rsidR="00134D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60386" w:rsidTr="00E73793">
        <w:tc>
          <w:tcPr>
            <w:tcW w:w="959" w:type="dxa"/>
          </w:tcPr>
          <w:p w:rsidR="00C60386" w:rsidRPr="007E22A7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C60386" w:rsidRPr="007E22A7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</w:tcPr>
          <w:p w:rsidR="00C60386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C60386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1162,5</w:t>
            </w:r>
          </w:p>
        </w:tc>
        <w:tc>
          <w:tcPr>
            <w:tcW w:w="993" w:type="dxa"/>
          </w:tcPr>
          <w:p w:rsidR="00C60386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1123,8</w:t>
            </w:r>
          </w:p>
        </w:tc>
        <w:tc>
          <w:tcPr>
            <w:tcW w:w="1134" w:type="dxa"/>
          </w:tcPr>
          <w:p w:rsidR="00C60386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-38,7</w:t>
            </w:r>
          </w:p>
        </w:tc>
        <w:tc>
          <w:tcPr>
            <w:tcW w:w="850" w:type="dxa"/>
          </w:tcPr>
          <w:p w:rsidR="00C60386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99" w:type="dxa"/>
          </w:tcPr>
          <w:p w:rsidR="00C60386" w:rsidRPr="00644861" w:rsidRDefault="0064726B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C60386" w:rsidTr="00E73793">
        <w:tc>
          <w:tcPr>
            <w:tcW w:w="959" w:type="dxa"/>
          </w:tcPr>
          <w:p w:rsidR="00C60386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C60386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C60386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992" w:type="dxa"/>
          </w:tcPr>
          <w:p w:rsidR="00C60386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993" w:type="dxa"/>
          </w:tcPr>
          <w:p w:rsidR="00C60386" w:rsidRDefault="00C6038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</w:tcPr>
          <w:p w:rsidR="00C60386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-34,2</w:t>
            </w:r>
          </w:p>
        </w:tc>
        <w:tc>
          <w:tcPr>
            <w:tcW w:w="850" w:type="dxa"/>
          </w:tcPr>
          <w:p w:rsidR="00C60386" w:rsidRPr="00CD69C2" w:rsidRDefault="000774A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099" w:type="dxa"/>
          </w:tcPr>
          <w:p w:rsidR="00C60386" w:rsidRPr="00644861" w:rsidRDefault="0064726B" w:rsidP="001E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E3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214E5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1679,5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86,4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1942,8 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40,4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214E5A">
        <w:rPr>
          <w:rFonts w:ascii="Times New Roman" w:hAnsi="Times New Roman" w:cs="Times New Roman"/>
          <w:color w:val="000000"/>
          <w:sz w:val="28"/>
          <w:szCs w:val="28"/>
        </w:rPr>
        <w:t>682,2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214E5A">
        <w:rPr>
          <w:rFonts w:ascii="Times New Roman" w:hAnsi="Times New Roman" w:cs="Times New Roman"/>
          <w:color w:val="000000"/>
          <w:sz w:val="28"/>
          <w:szCs w:val="28"/>
        </w:rPr>
        <w:t>92,2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214E5A">
        <w:rPr>
          <w:rFonts w:ascii="Times New Roman" w:hAnsi="Times New Roman" w:cs="Times New Roman"/>
          <w:color w:val="000000"/>
          <w:sz w:val="28"/>
          <w:szCs w:val="28"/>
        </w:rPr>
        <w:t>740,0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214E5A">
        <w:rPr>
          <w:rFonts w:ascii="Times New Roman" w:hAnsi="Times New Roman" w:cs="Times New Roman"/>
          <w:color w:val="000000"/>
          <w:sz w:val="28"/>
          <w:szCs w:val="28"/>
        </w:rPr>
        <w:t>16,4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9B0D2C">
        <w:rPr>
          <w:rFonts w:ascii="Times New Roman" w:hAnsi="Times New Roman" w:cs="Times New Roman"/>
          <w:sz w:val="28"/>
          <w:szCs w:val="28"/>
        </w:rPr>
        <w:t>1,2 тыс.</w:t>
      </w:r>
      <w:r w:rsidR="00214E5A">
        <w:rPr>
          <w:rFonts w:ascii="Times New Roman" w:hAnsi="Times New Roman" w:cs="Times New Roman"/>
          <w:sz w:val="28"/>
          <w:szCs w:val="28"/>
        </w:rPr>
        <w:t xml:space="preserve"> рублей или 8</w:t>
      </w:r>
      <w:r w:rsidRPr="00FD53EE">
        <w:rPr>
          <w:rFonts w:ascii="Times New Roman" w:hAnsi="Times New Roman" w:cs="Times New Roman"/>
          <w:sz w:val="28"/>
          <w:szCs w:val="28"/>
        </w:rPr>
        <w:t>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290050">
        <w:rPr>
          <w:rFonts w:ascii="Times New Roman" w:hAnsi="Times New Roman" w:cs="Times New Roman"/>
          <w:sz w:val="28"/>
          <w:szCs w:val="28"/>
        </w:rPr>
        <w:t>1198,3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90050">
        <w:rPr>
          <w:rFonts w:ascii="Times New Roman" w:hAnsi="Times New Roman" w:cs="Times New Roman"/>
          <w:sz w:val="28"/>
          <w:szCs w:val="28"/>
        </w:rPr>
        <w:t>994,3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290050">
        <w:rPr>
          <w:rFonts w:ascii="Times New Roman" w:hAnsi="Times New Roman" w:cs="Times New Roman"/>
          <w:sz w:val="28"/>
          <w:szCs w:val="28"/>
        </w:rPr>
        <w:t>83,0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0E5469">
        <w:rPr>
          <w:rFonts w:ascii="Times New Roman" w:hAnsi="Times New Roman" w:cs="Times New Roman"/>
          <w:sz w:val="28"/>
          <w:szCs w:val="28"/>
        </w:rPr>
        <w:t>90,9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8214D0">
        <w:rPr>
          <w:rFonts w:ascii="Times New Roman" w:hAnsi="Times New Roman" w:cs="Times New Roman"/>
          <w:sz w:val="28"/>
          <w:szCs w:val="28"/>
        </w:rPr>
        <w:t>100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F74718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F74718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7471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74718" w:rsidRPr="00F7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ремонт, ремонт и содержание автомобильных дорог местного значения в границах населенных пунктов муниципального</w:t>
      </w:r>
      <w:r w:rsidR="00F7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718" w:rsidRPr="00F7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</w:t>
      </w:r>
      <w:r w:rsidR="006C4B63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74718">
        <w:rPr>
          <w:rFonts w:ascii="Times New Roman" w:hAnsi="Times New Roman" w:cs="Times New Roman"/>
          <w:sz w:val="28"/>
          <w:szCs w:val="28"/>
        </w:rPr>
        <w:t>949,2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F74718">
        <w:rPr>
          <w:rFonts w:ascii="Times New Roman" w:hAnsi="Times New Roman" w:cs="Times New Roman"/>
          <w:sz w:val="28"/>
          <w:szCs w:val="28"/>
        </w:rPr>
        <w:t>849,2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F74718">
        <w:rPr>
          <w:rFonts w:ascii="Times New Roman" w:hAnsi="Times New Roman" w:cs="Times New Roman"/>
          <w:sz w:val="28"/>
          <w:szCs w:val="28"/>
        </w:rPr>
        <w:t>89,5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030C83">
        <w:rPr>
          <w:sz w:val="28"/>
          <w:szCs w:val="28"/>
        </w:rPr>
        <w:t>1123,8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030C83">
        <w:rPr>
          <w:sz w:val="28"/>
          <w:szCs w:val="28"/>
        </w:rPr>
        <w:t>96,7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030C83">
        <w:rPr>
          <w:sz w:val="28"/>
          <w:szCs w:val="28"/>
        </w:rPr>
        <w:t>408,0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030C83">
        <w:rPr>
          <w:sz w:val="28"/>
          <w:szCs w:val="28"/>
        </w:rPr>
        <w:t>92,3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B82EE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24FDE">
        <w:rPr>
          <w:rFonts w:ascii="Times New Roman" w:hAnsi="Times New Roman" w:cs="Times New Roman"/>
          <w:sz w:val="28"/>
          <w:szCs w:val="28"/>
        </w:rPr>
        <w:t>четыре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FE7A4A">
        <w:rPr>
          <w:rFonts w:ascii="Times New Roman" w:hAnsi="Times New Roman" w:cs="Times New Roman"/>
          <w:sz w:val="28"/>
          <w:szCs w:val="28"/>
        </w:rPr>
        <w:t xml:space="preserve">. В 2020г. запланировано  </w:t>
      </w:r>
      <w:r w:rsidR="00B82EE3">
        <w:rPr>
          <w:rFonts w:ascii="Times New Roman" w:hAnsi="Times New Roman" w:cs="Times New Roman"/>
          <w:sz w:val="28"/>
          <w:szCs w:val="28"/>
        </w:rPr>
        <w:t>2553,9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B82EE3">
        <w:rPr>
          <w:rFonts w:ascii="Times New Roman" w:hAnsi="Times New Roman" w:cs="Times New Roman"/>
          <w:sz w:val="28"/>
          <w:szCs w:val="28"/>
        </w:rPr>
        <w:t>2381,0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B82EE3">
        <w:rPr>
          <w:rFonts w:ascii="Times New Roman" w:hAnsi="Times New Roman" w:cs="Times New Roman"/>
          <w:sz w:val="28"/>
          <w:szCs w:val="28"/>
        </w:rPr>
        <w:t>93,2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</w:t>
      </w:r>
      <w:r w:rsidR="00BC029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B82EE3">
        <w:rPr>
          <w:rFonts w:ascii="Times New Roman" w:hAnsi="Times New Roman" w:cs="Times New Roman"/>
          <w:sz w:val="28"/>
          <w:szCs w:val="28"/>
        </w:rPr>
        <w:t>на 2017-</w:t>
      </w:r>
      <w:r w:rsidR="00BC029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B82EE3">
        <w:rPr>
          <w:rFonts w:ascii="Times New Roman" w:hAnsi="Times New Roman" w:cs="Times New Roman"/>
          <w:sz w:val="28"/>
          <w:szCs w:val="28"/>
        </w:rPr>
        <w:t>1162,5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82EE3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B82EE3">
        <w:rPr>
          <w:rFonts w:ascii="Times New Roman" w:hAnsi="Times New Roman" w:cs="Times New Roman"/>
          <w:sz w:val="28"/>
          <w:szCs w:val="28"/>
        </w:rPr>
        <w:t>96,7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B82EE3">
        <w:rPr>
          <w:rFonts w:ascii="Times New Roman" w:hAnsi="Times New Roman" w:cs="Times New Roman"/>
          <w:sz w:val="28"/>
          <w:szCs w:val="28"/>
        </w:rPr>
        <w:t>8</w:t>
      </w:r>
      <w:r w:rsidR="00BC0290">
        <w:rPr>
          <w:rFonts w:ascii="Times New Roman" w:hAnsi="Times New Roman" w:cs="Times New Roman"/>
          <w:sz w:val="28"/>
          <w:szCs w:val="28"/>
        </w:rPr>
        <w:t>-2020г.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82EE3">
        <w:rPr>
          <w:rFonts w:ascii="Times New Roman" w:hAnsi="Times New Roman" w:cs="Times New Roman"/>
          <w:sz w:val="28"/>
          <w:szCs w:val="28"/>
        </w:rPr>
        <w:t>949,2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B82EE3">
        <w:rPr>
          <w:rFonts w:ascii="Times New Roman" w:hAnsi="Times New Roman" w:cs="Times New Roman"/>
          <w:sz w:val="28"/>
          <w:szCs w:val="28"/>
        </w:rPr>
        <w:t>89,5% или 849,5 тыс.рублей.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82EE3">
        <w:rPr>
          <w:rFonts w:ascii="Times New Roman" w:hAnsi="Times New Roman" w:cs="Times New Roman"/>
          <w:sz w:val="28"/>
          <w:szCs w:val="28"/>
        </w:rPr>
        <w:t>123,5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B82EE3">
        <w:rPr>
          <w:rFonts w:ascii="Times New Roman" w:hAnsi="Times New Roman" w:cs="Times New Roman"/>
          <w:sz w:val="28"/>
          <w:szCs w:val="28"/>
        </w:rPr>
        <w:t>72,3</w:t>
      </w:r>
      <w:r w:rsidRPr="002F7917">
        <w:rPr>
          <w:rFonts w:ascii="Times New Roman" w:hAnsi="Times New Roman" w:cs="Times New Roman"/>
          <w:sz w:val="28"/>
          <w:szCs w:val="28"/>
        </w:rPr>
        <w:t>%</w:t>
      </w:r>
      <w:r w:rsidR="00B82EE3">
        <w:rPr>
          <w:rFonts w:ascii="Times New Roman" w:hAnsi="Times New Roman" w:cs="Times New Roman"/>
          <w:sz w:val="28"/>
          <w:szCs w:val="28"/>
        </w:rPr>
        <w:t xml:space="preserve"> или 89,3 тыс.рублей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82EE3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на 2020-2025г</w:t>
      </w:r>
      <w:r w:rsidR="00FE7A4A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82EE3">
        <w:rPr>
          <w:rFonts w:ascii="Times New Roman" w:hAnsi="Times New Roman" w:cs="Times New Roman"/>
          <w:sz w:val="28"/>
          <w:szCs w:val="28"/>
        </w:rPr>
        <w:t>318,7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131731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B82EE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1317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B82EE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C4C8A">
        <w:rPr>
          <w:rFonts w:ascii="Times New Roman" w:hAnsi="Times New Roman" w:cs="Times New Roman"/>
          <w:sz w:val="28"/>
          <w:szCs w:val="28"/>
        </w:rPr>
        <w:t>12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82EE3">
        <w:rPr>
          <w:rFonts w:ascii="Times New Roman" w:hAnsi="Times New Roman" w:cs="Times New Roman"/>
          <w:sz w:val="28"/>
          <w:szCs w:val="28"/>
        </w:rPr>
        <w:t>19</w:t>
      </w:r>
      <w:r w:rsidR="00EC4C8A">
        <w:rPr>
          <w:rFonts w:ascii="Times New Roman" w:hAnsi="Times New Roman" w:cs="Times New Roman"/>
          <w:sz w:val="28"/>
          <w:szCs w:val="28"/>
        </w:rPr>
        <w:t>-</w:t>
      </w:r>
      <w:r w:rsidR="00B82EE3">
        <w:rPr>
          <w:rFonts w:ascii="Times New Roman" w:hAnsi="Times New Roman" w:cs="Times New Roman"/>
          <w:sz w:val="28"/>
          <w:szCs w:val="28"/>
        </w:rPr>
        <w:t>53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82EE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F34207" w:rsidP="00F44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44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D6136E" w:rsidRDefault="00F34207" w:rsidP="00F44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</w:t>
            </w:r>
            <w:r w:rsidR="00F44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F34207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3190,4</w:t>
            </w:r>
          </w:p>
        </w:tc>
        <w:tc>
          <w:tcPr>
            <w:tcW w:w="1843" w:type="dxa"/>
          </w:tcPr>
          <w:p w:rsidR="00D6136E" w:rsidRDefault="00F34207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-4414,1</w:t>
            </w:r>
          </w:p>
        </w:tc>
        <w:tc>
          <w:tcPr>
            <w:tcW w:w="1808" w:type="dxa"/>
          </w:tcPr>
          <w:p w:rsidR="00D6136E" w:rsidRDefault="00F34207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-3992,5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F34207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3190,4</w:t>
            </w:r>
          </w:p>
        </w:tc>
        <w:tc>
          <w:tcPr>
            <w:tcW w:w="1843" w:type="dxa"/>
          </w:tcPr>
          <w:p w:rsidR="00D6136E" w:rsidRPr="00F44B25" w:rsidRDefault="00F34207" w:rsidP="00F44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B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44B25" w:rsidRPr="00F44B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4B25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44B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D6136E" w:rsidRDefault="00F34207" w:rsidP="00F44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4152,</w:t>
            </w:r>
            <w:r w:rsidR="00F44B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4C60B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образования исполнен с дефицитом в объеме -</w:t>
      </w:r>
      <w:r w:rsidR="004C60BF">
        <w:rPr>
          <w:rFonts w:ascii="Times New Roman" w:hAnsi="Times New Roman" w:cs="Times New Roman"/>
          <w:sz w:val="28"/>
          <w:szCs w:val="28"/>
        </w:rPr>
        <w:t>160,1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60BF">
        <w:rPr>
          <w:rFonts w:ascii="Times New Roman" w:hAnsi="Times New Roman" w:cs="Times New Roman"/>
          <w:color w:val="000000"/>
          <w:sz w:val="28"/>
          <w:szCs w:val="28"/>
        </w:rPr>
        <w:t>4414,1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4C60BF">
        <w:rPr>
          <w:rFonts w:ascii="Times New Roman" w:hAnsi="Times New Roman" w:cs="Times New Roman"/>
          <w:color w:val="000000"/>
          <w:sz w:val="28"/>
          <w:szCs w:val="28"/>
        </w:rPr>
        <w:t>3992,5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0BF">
        <w:rPr>
          <w:rFonts w:ascii="Times New Roman" w:hAnsi="Times New Roman" w:cs="Times New Roman"/>
          <w:color w:val="000000"/>
          <w:sz w:val="28"/>
          <w:szCs w:val="28"/>
        </w:rPr>
        <w:t>4587,7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4C60BF">
        <w:rPr>
          <w:rFonts w:ascii="Times New Roman" w:hAnsi="Times New Roman" w:cs="Times New Roman"/>
          <w:color w:val="000000"/>
          <w:sz w:val="28"/>
          <w:szCs w:val="28"/>
        </w:rPr>
        <w:t>4152,6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Разница данных показателей дает отрицательную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получаем дефицит бюджета в сумме -</w:t>
      </w:r>
      <w:r w:rsidR="004C60BF">
        <w:rPr>
          <w:rFonts w:ascii="Times New Roman" w:hAnsi="Times New Roman" w:cs="Times New Roman"/>
          <w:color w:val="000000"/>
          <w:sz w:val="28"/>
          <w:szCs w:val="28"/>
        </w:rPr>
        <w:t>160,1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 xml:space="preserve">соответствующего финансового года. То есть, после завершения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lastRenderedPageBreak/>
        <w:t>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Сумма остатков средств на счетах по учету средств является внутренним источником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дефицита бюджета и покрывает дефицит бюджета в полном объеме.</w:t>
      </w:r>
    </w:p>
    <w:p w:rsidR="00BA796F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Внесенные изменения в бюджет муниципального образования принимались без проведения экспертизы Контрольно-счетной комиссии, также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не предоставлялись на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C9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proofErr w:type="spellStart"/>
      <w:r w:rsidR="004C60B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4C6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дств в 20</w:t>
      </w:r>
      <w:proofErr w:type="gramEnd"/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3F1E6A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proofErr w:type="spellStart"/>
      <w:r w:rsidR="00AA146B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по доходам в сумме </w:t>
      </w:r>
      <w:r w:rsidR="00AA146B">
        <w:rPr>
          <w:rFonts w:ascii="Times New Roman" w:hAnsi="Times New Roman" w:cs="Times New Roman"/>
          <w:color w:val="000000"/>
          <w:sz w:val="28"/>
          <w:szCs w:val="28"/>
        </w:rPr>
        <w:t>3992,5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ей или </w:t>
      </w:r>
      <w:r w:rsidR="00AA146B">
        <w:rPr>
          <w:rFonts w:ascii="Times New Roman" w:hAnsi="Times New Roman" w:cs="Times New Roman"/>
          <w:color w:val="000000"/>
          <w:sz w:val="28"/>
          <w:szCs w:val="28"/>
        </w:rPr>
        <w:t>90,4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%, по расходам в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AA146B">
        <w:rPr>
          <w:rFonts w:ascii="Times New Roman" w:hAnsi="Times New Roman" w:cs="Times New Roman"/>
          <w:color w:val="000000"/>
          <w:sz w:val="28"/>
          <w:szCs w:val="28"/>
        </w:rPr>
        <w:t>4152,6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32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AA146B">
        <w:rPr>
          <w:rFonts w:ascii="Times New Roman" w:hAnsi="Times New Roman" w:cs="Times New Roman"/>
          <w:color w:val="000000"/>
          <w:sz w:val="28"/>
          <w:szCs w:val="28"/>
        </w:rPr>
        <w:t>90,5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%, дефицит бюджета в сумме </w:t>
      </w:r>
      <w:r w:rsidR="00AA146B">
        <w:rPr>
          <w:rFonts w:ascii="Times New Roman" w:hAnsi="Times New Roman" w:cs="Times New Roman"/>
          <w:color w:val="000000"/>
          <w:sz w:val="28"/>
          <w:szCs w:val="28"/>
        </w:rPr>
        <w:t>-160,1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Фактов отражения недостоверных показателей не установлено. </w:t>
      </w:r>
    </w:p>
    <w:p w:rsid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При проверке «Пояснительной записки» (ф. 0503160) выявлены замечания по вопросам отражения информации в разделах пояснительной записки, а также отсутствуют таблицы, прилагаемые </w:t>
      </w:r>
      <w:proofErr w:type="gramStart"/>
      <w:r w:rsidRPr="005C0979">
        <w:rPr>
          <w:sz w:val="28"/>
          <w:szCs w:val="28"/>
        </w:rPr>
        <w:t>к</w:t>
      </w:r>
      <w:proofErr w:type="gramEnd"/>
      <w:r w:rsidRPr="005C0979">
        <w:rPr>
          <w:sz w:val="28"/>
          <w:szCs w:val="28"/>
        </w:rPr>
        <w:t xml:space="preserve"> пояснительной записки, что нарушает </w:t>
      </w:r>
    </w:p>
    <w:p w:rsidR="00AA146B" w:rsidRPr="005C0979" w:rsidRDefault="00AA146B" w:rsidP="005C0979">
      <w:pPr>
        <w:pStyle w:val="Default"/>
        <w:rPr>
          <w:sz w:val="28"/>
          <w:szCs w:val="28"/>
        </w:rPr>
      </w:pPr>
    </w:p>
    <w:p w:rsidR="002F7917" w:rsidRPr="002F7917" w:rsidRDefault="00534EFA" w:rsidP="00534EFA">
      <w:pPr>
        <w:pStyle w:val="Default"/>
        <w:pageBreakBefore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4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2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10951"/>
    <w:rsid w:val="0002296A"/>
    <w:rsid w:val="00024FDE"/>
    <w:rsid w:val="00030C83"/>
    <w:rsid w:val="000774A3"/>
    <w:rsid w:val="000945D4"/>
    <w:rsid w:val="00095EC5"/>
    <w:rsid w:val="000B51E3"/>
    <w:rsid w:val="000D787D"/>
    <w:rsid w:val="000E09A1"/>
    <w:rsid w:val="000E5469"/>
    <w:rsid w:val="000F1986"/>
    <w:rsid w:val="00102B11"/>
    <w:rsid w:val="001034DD"/>
    <w:rsid w:val="001132E1"/>
    <w:rsid w:val="00126772"/>
    <w:rsid w:val="00131731"/>
    <w:rsid w:val="00134D54"/>
    <w:rsid w:val="00144DED"/>
    <w:rsid w:val="00165019"/>
    <w:rsid w:val="001A7984"/>
    <w:rsid w:val="001C117D"/>
    <w:rsid w:val="001C494D"/>
    <w:rsid w:val="001D7E82"/>
    <w:rsid w:val="001E3158"/>
    <w:rsid w:val="00214E5A"/>
    <w:rsid w:val="00215A0C"/>
    <w:rsid w:val="00232617"/>
    <w:rsid w:val="00241C50"/>
    <w:rsid w:val="0026131C"/>
    <w:rsid w:val="00265545"/>
    <w:rsid w:val="00270A9D"/>
    <w:rsid w:val="00290050"/>
    <w:rsid w:val="002961D8"/>
    <w:rsid w:val="002C6B75"/>
    <w:rsid w:val="002D2331"/>
    <w:rsid w:val="002F0018"/>
    <w:rsid w:val="002F7917"/>
    <w:rsid w:val="00306A0C"/>
    <w:rsid w:val="00320070"/>
    <w:rsid w:val="003311DB"/>
    <w:rsid w:val="00341B40"/>
    <w:rsid w:val="00352B16"/>
    <w:rsid w:val="00362662"/>
    <w:rsid w:val="00362DE8"/>
    <w:rsid w:val="003A1890"/>
    <w:rsid w:val="003B538A"/>
    <w:rsid w:val="003F1E6A"/>
    <w:rsid w:val="0040431C"/>
    <w:rsid w:val="00417514"/>
    <w:rsid w:val="00446F1A"/>
    <w:rsid w:val="00473141"/>
    <w:rsid w:val="004C60BF"/>
    <w:rsid w:val="004F0928"/>
    <w:rsid w:val="0052542C"/>
    <w:rsid w:val="005323D9"/>
    <w:rsid w:val="00534EFA"/>
    <w:rsid w:val="00542BEB"/>
    <w:rsid w:val="00555BB8"/>
    <w:rsid w:val="00584035"/>
    <w:rsid w:val="00594105"/>
    <w:rsid w:val="005B4C70"/>
    <w:rsid w:val="005B7329"/>
    <w:rsid w:val="005B7F81"/>
    <w:rsid w:val="005C0979"/>
    <w:rsid w:val="005E7666"/>
    <w:rsid w:val="00606C51"/>
    <w:rsid w:val="006108C8"/>
    <w:rsid w:val="0061739C"/>
    <w:rsid w:val="00644861"/>
    <w:rsid w:val="00644A18"/>
    <w:rsid w:val="0064726B"/>
    <w:rsid w:val="0065610C"/>
    <w:rsid w:val="00683D34"/>
    <w:rsid w:val="006C4B63"/>
    <w:rsid w:val="006C7CE3"/>
    <w:rsid w:val="006E226A"/>
    <w:rsid w:val="006E3E62"/>
    <w:rsid w:val="006E5917"/>
    <w:rsid w:val="007029CD"/>
    <w:rsid w:val="007068DC"/>
    <w:rsid w:val="00736FAD"/>
    <w:rsid w:val="00743512"/>
    <w:rsid w:val="00745A1A"/>
    <w:rsid w:val="007C4DCF"/>
    <w:rsid w:val="007E22A7"/>
    <w:rsid w:val="008214D0"/>
    <w:rsid w:val="00867AD5"/>
    <w:rsid w:val="00873EC7"/>
    <w:rsid w:val="008864C9"/>
    <w:rsid w:val="008A384F"/>
    <w:rsid w:val="008B2E2C"/>
    <w:rsid w:val="008B470D"/>
    <w:rsid w:val="008E6C24"/>
    <w:rsid w:val="009247B2"/>
    <w:rsid w:val="009248F4"/>
    <w:rsid w:val="00931B03"/>
    <w:rsid w:val="00937ED5"/>
    <w:rsid w:val="00957095"/>
    <w:rsid w:val="009A4120"/>
    <w:rsid w:val="009B0D2C"/>
    <w:rsid w:val="009C461F"/>
    <w:rsid w:val="009C4B1E"/>
    <w:rsid w:val="009F102F"/>
    <w:rsid w:val="00A00C38"/>
    <w:rsid w:val="00A06BC7"/>
    <w:rsid w:val="00A10E26"/>
    <w:rsid w:val="00A66627"/>
    <w:rsid w:val="00AA146B"/>
    <w:rsid w:val="00AB017B"/>
    <w:rsid w:val="00AB19A4"/>
    <w:rsid w:val="00AD3D96"/>
    <w:rsid w:val="00AD5F5D"/>
    <w:rsid w:val="00AE2F5B"/>
    <w:rsid w:val="00AF39F5"/>
    <w:rsid w:val="00B044B5"/>
    <w:rsid w:val="00B228B2"/>
    <w:rsid w:val="00B22B23"/>
    <w:rsid w:val="00B40360"/>
    <w:rsid w:val="00B41E57"/>
    <w:rsid w:val="00B46460"/>
    <w:rsid w:val="00B466AE"/>
    <w:rsid w:val="00B82EE3"/>
    <w:rsid w:val="00BA796F"/>
    <w:rsid w:val="00BB48B7"/>
    <w:rsid w:val="00BC0290"/>
    <w:rsid w:val="00BC5F28"/>
    <w:rsid w:val="00C02579"/>
    <w:rsid w:val="00C31EDD"/>
    <w:rsid w:val="00C4697C"/>
    <w:rsid w:val="00C60386"/>
    <w:rsid w:val="00C64764"/>
    <w:rsid w:val="00C80913"/>
    <w:rsid w:val="00CB68D7"/>
    <w:rsid w:val="00CB7D9D"/>
    <w:rsid w:val="00CD69C2"/>
    <w:rsid w:val="00CE6DD6"/>
    <w:rsid w:val="00D32B3B"/>
    <w:rsid w:val="00D6136E"/>
    <w:rsid w:val="00D67AC2"/>
    <w:rsid w:val="00D86378"/>
    <w:rsid w:val="00D87EE1"/>
    <w:rsid w:val="00D92B31"/>
    <w:rsid w:val="00DB2996"/>
    <w:rsid w:val="00DC1A7E"/>
    <w:rsid w:val="00DC6941"/>
    <w:rsid w:val="00E16128"/>
    <w:rsid w:val="00E23417"/>
    <w:rsid w:val="00E26116"/>
    <w:rsid w:val="00E525E4"/>
    <w:rsid w:val="00E73793"/>
    <w:rsid w:val="00EA7588"/>
    <w:rsid w:val="00EC4C8A"/>
    <w:rsid w:val="00ED164F"/>
    <w:rsid w:val="00EE354E"/>
    <w:rsid w:val="00EF0E6B"/>
    <w:rsid w:val="00F01F95"/>
    <w:rsid w:val="00F34207"/>
    <w:rsid w:val="00F35D38"/>
    <w:rsid w:val="00F44B25"/>
    <w:rsid w:val="00F74718"/>
    <w:rsid w:val="00F825AB"/>
    <w:rsid w:val="00F87F9E"/>
    <w:rsid w:val="00F9558D"/>
    <w:rsid w:val="00FB2D06"/>
    <w:rsid w:val="00FB7688"/>
    <w:rsid w:val="00FC36CB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614-E01C-4E4C-90A0-9DDB0E4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2021-04-21T06:20:00Z</dcterms:created>
  <dcterms:modified xsi:type="dcterms:W3CDTF">2021-04-21T06:20:00Z</dcterms:modified>
</cp:coreProperties>
</file>