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C5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C5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C5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proofErr w:type="spellStart"/>
      <w:r w:rsidR="00076F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Новорепинского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2020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076F29" w:rsidRDefault="00341B40" w:rsidP="0007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ршов                                                                                          2</w:t>
      </w:r>
      <w:r w:rsidR="00076F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марта 2021г.</w:t>
      </w:r>
    </w:p>
    <w:p w:rsidR="00076F29" w:rsidRPr="00076F29" w:rsidRDefault="00076F29" w:rsidP="0007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</w:t>
      </w:r>
      <w:r w:rsidRPr="002F7584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Pr="002F7584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Pr="002F75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подготовлено Контрольно-счетной комиссией </w:t>
      </w:r>
      <w:proofErr w:type="spellStart"/>
      <w:r w:rsidRPr="002F758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7584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19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Новорепинском</w:t>
      </w:r>
      <w:proofErr w:type="spellEnd"/>
      <w:r w:rsidRPr="002F7584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утвержденного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Pr="002F7584">
        <w:rPr>
          <w:rFonts w:ascii="Times New Roman" w:hAnsi="Times New Roman" w:cs="Times New Roman"/>
          <w:sz w:val="28"/>
          <w:szCs w:val="28"/>
        </w:rPr>
        <w:t xml:space="preserve"> МО от </w:t>
      </w:r>
      <w:r>
        <w:rPr>
          <w:rFonts w:ascii="Times New Roman" w:hAnsi="Times New Roman" w:cs="Times New Roman"/>
          <w:sz w:val="28"/>
          <w:szCs w:val="28"/>
        </w:rPr>
        <w:t>06.12</w:t>
      </w:r>
      <w:r w:rsidRPr="002F758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758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75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F7584">
        <w:rPr>
          <w:rFonts w:ascii="Times New Roman" w:hAnsi="Times New Roman" w:cs="Times New Roman"/>
          <w:sz w:val="28"/>
          <w:szCs w:val="28"/>
        </w:rPr>
        <w:t xml:space="preserve">, пункта 1.3. Соглашения о передаче Контрольно-счетной комиссии </w:t>
      </w:r>
      <w:proofErr w:type="spellStart"/>
      <w:r w:rsidRPr="002F758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7584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Pr="002F75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 №4 от 01.11.2014г.</w:t>
      </w:r>
    </w:p>
    <w:p w:rsidR="00076F29" w:rsidRPr="00E319BE" w:rsidRDefault="00076F29" w:rsidP="00076F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B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076F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proofErr w:type="spellStart"/>
      <w:r w:rsidR="00076F29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="00F23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proofErr w:type="spellStart"/>
      <w:r w:rsidR="00076F29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076F29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076F29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внешней проверки выступает администрация </w:t>
      </w:r>
      <w:proofErr w:type="spellStart"/>
      <w:r w:rsidR="00076F29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Проверка проведена Контрольно-счетной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бюджетным законодательством и запросом Контрольно-счетной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6772">
        <w:rPr>
          <w:rFonts w:ascii="Times New Roman" w:hAnsi="Times New Roman" w:cs="Times New Roman"/>
          <w:sz w:val="28"/>
          <w:szCs w:val="28"/>
        </w:rPr>
        <w:t>10.</w:t>
      </w: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126772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076F29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6F2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F23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76F2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6F29">
        <w:rPr>
          <w:rFonts w:ascii="Times New Roman" w:hAnsi="Times New Roman" w:cs="Times New Roman"/>
          <w:color w:val="000000"/>
          <w:sz w:val="28"/>
          <w:szCs w:val="28"/>
        </w:rPr>
        <w:t>-192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 w:rsidR="00076F29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76F29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20г. №</w:t>
      </w:r>
      <w:r w:rsidR="00076F29">
        <w:rPr>
          <w:rFonts w:ascii="Times New Roman" w:hAnsi="Times New Roman" w:cs="Times New Roman"/>
          <w:color w:val="000000"/>
          <w:sz w:val="28"/>
          <w:szCs w:val="28"/>
        </w:rPr>
        <w:t>54-196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57-206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; от 0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58-212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59-213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60-218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 xml:space="preserve">; от 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.2020г. №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61-224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833F6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.2020г. №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62-225; от 25.11.2020г №63-237; от 25.12.2020г. №64-439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2020г.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136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соответствует срокам,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Минфина от 28.12.2010 г №191н.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соответствующий 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внесенных в ходе его исполнения, 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отчетности, использование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сброшюрованном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83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части бюджетной деятельности. Средства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графы баланса «на конец отчетного периода» указаны с учетом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A06BC7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нефинансовые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lastRenderedPageBreak/>
        <w:t>активы за счёт бюджетной деятельности у</w:t>
      </w:r>
      <w:r w:rsidR="00A06BC7" w:rsidRPr="00F825AB">
        <w:rPr>
          <w:rFonts w:ascii="Times New Roman" w:hAnsi="Times New Roman" w:cs="Times New Roman"/>
          <w:sz w:val="28"/>
          <w:szCs w:val="28"/>
        </w:rPr>
        <w:t>величились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872CE4">
        <w:rPr>
          <w:rFonts w:ascii="Times New Roman" w:hAnsi="Times New Roman" w:cs="Times New Roman"/>
          <w:sz w:val="28"/>
          <w:szCs w:val="28"/>
        </w:rPr>
        <w:t>689,8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ублей и составили </w:t>
      </w:r>
      <w:r w:rsidR="0076131B">
        <w:rPr>
          <w:rFonts w:ascii="Times New Roman" w:hAnsi="Times New Roman" w:cs="Times New Roman"/>
          <w:sz w:val="28"/>
          <w:szCs w:val="28"/>
        </w:rPr>
        <w:t>6951,0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числе: основные средства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76131B">
        <w:rPr>
          <w:rFonts w:ascii="Times New Roman" w:hAnsi="Times New Roman" w:cs="Times New Roman"/>
          <w:sz w:val="28"/>
          <w:szCs w:val="28"/>
        </w:rPr>
        <w:t xml:space="preserve">1853,6 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</w:t>
      </w:r>
      <w:r w:rsidR="00DE6DA3">
        <w:rPr>
          <w:rFonts w:ascii="Times New Roman" w:hAnsi="Times New Roman" w:cs="Times New Roman"/>
          <w:sz w:val="28"/>
          <w:szCs w:val="28"/>
        </w:rPr>
        <w:t>величение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6131B">
        <w:rPr>
          <w:rFonts w:ascii="Times New Roman" w:hAnsi="Times New Roman" w:cs="Times New Roman"/>
          <w:sz w:val="28"/>
          <w:szCs w:val="28"/>
        </w:rPr>
        <w:t>570,3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активы </w:t>
      </w:r>
      <w:r w:rsidR="0076131B">
        <w:rPr>
          <w:rFonts w:ascii="Times New Roman" w:hAnsi="Times New Roman" w:cs="Times New Roman"/>
          <w:sz w:val="28"/>
          <w:szCs w:val="28"/>
        </w:rPr>
        <w:t>–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76131B">
        <w:rPr>
          <w:rFonts w:ascii="Times New Roman" w:hAnsi="Times New Roman" w:cs="Times New Roman"/>
          <w:sz w:val="28"/>
          <w:szCs w:val="28"/>
        </w:rPr>
        <w:t>2,8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(на уровне 20</w:t>
      </w:r>
      <w:r w:rsidR="00A06BC7" w:rsidRPr="00F825AB">
        <w:rPr>
          <w:rFonts w:ascii="Times New Roman" w:hAnsi="Times New Roman" w:cs="Times New Roman"/>
          <w:sz w:val="28"/>
          <w:szCs w:val="28"/>
        </w:rPr>
        <w:t>19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года), материальные запасы стоимостью – </w:t>
      </w:r>
      <w:r w:rsidR="0076131B">
        <w:rPr>
          <w:rFonts w:ascii="Times New Roman" w:hAnsi="Times New Roman" w:cs="Times New Roman"/>
          <w:sz w:val="28"/>
          <w:szCs w:val="28"/>
        </w:rPr>
        <w:t>247,3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(незначительное у</w:t>
      </w:r>
      <w:r w:rsidR="0076131B">
        <w:rPr>
          <w:rFonts w:ascii="Times New Roman" w:hAnsi="Times New Roman" w:cs="Times New Roman"/>
          <w:sz w:val="28"/>
          <w:szCs w:val="28"/>
        </w:rPr>
        <w:t>величение</w:t>
      </w:r>
      <w:r w:rsidR="00DE6DA3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на </w:t>
      </w:r>
      <w:r w:rsidR="0076131B">
        <w:rPr>
          <w:rFonts w:ascii="Times New Roman" w:hAnsi="Times New Roman" w:cs="Times New Roman"/>
          <w:sz w:val="28"/>
          <w:szCs w:val="28"/>
        </w:rPr>
        <w:t>119,5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нефинансовые активы имущества казны – </w:t>
      </w:r>
      <w:r w:rsidR="0076131B">
        <w:rPr>
          <w:rFonts w:ascii="Times New Roman" w:hAnsi="Times New Roman" w:cs="Times New Roman"/>
          <w:sz w:val="28"/>
          <w:szCs w:val="28"/>
        </w:rPr>
        <w:t>4180,3</w:t>
      </w:r>
      <w:r w:rsidR="00DE6DA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E6D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6DA3">
        <w:rPr>
          <w:rFonts w:ascii="Times New Roman" w:hAnsi="Times New Roman" w:cs="Times New Roman"/>
          <w:sz w:val="28"/>
          <w:szCs w:val="28"/>
        </w:rPr>
        <w:t>уб.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Сумма начисленной амортизации по основным средствам за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FA291A">
        <w:rPr>
          <w:rFonts w:ascii="Times New Roman" w:hAnsi="Times New Roman" w:cs="Times New Roman"/>
          <w:sz w:val="28"/>
          <w:szCs w:val="28"/>
        </w:rPr>
        <w:t>величилась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20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A291A">
        <w:rPr>
          <w:rFonts w:ascii="Times New Roman" w:hAnsi="Times New Roman" w:cs="Times New Roman"/>
          <w:sz w:val="28"/>
          <w:szCs w:val="28"/>
        </w:rPr>
        <w:t>408,1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  <w:r w:rsidR="00DE6DA3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A291A">
        <w:rPr>
          <w:rFonts w:ascii="Times New Roman" w:hAnsi="Times New Roman" w:cs="Times New Roman"/>
          <w:sz w:val="28"/>
          <w:szCs w:val="28"/>
        </w:rPr>
        <w:t>11713,8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Данные об остатках основных средств,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запасах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, нефинансовых активов имущества казны на начало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конец отчетного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отраженные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сведениях о движении нефинансовых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Показатели II раздела баланса «Финансовые активы» сложились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7A3F91">
        <w:rPr>
          <w:rFonts w:ascii="Times New Roman" w:hAnsi="Times New Roman" w:cs="Times New Roman"/>
          <w:sz w:val="28"/>
          <w:szCs w:val="28"/>
        </w:rPr>
        <w:t xml:space="preserve">вложения в финансовые активы </w:t>
      </w:r>
      <w:r w:rsidRPr="00F825AB">
        <w:rPr>
          <w:rFonts w:ascii="Times New Roman" w:hAnsi="Times New Roman" w:cs="Times New Roman"/>
          <w:sz w:val="28"/>
          <w:szCs w:val="28"/>
        </w:rPr>
        <w:t>и по состоянию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7A3F91">
        <w:rPr>
          <w:rFonts w:ascii="Times New Roman" w:hAnsi="Times New Roman" w:cs="Times New Roman"/>
          <w:sz w:val="28"/>
          <w:szCs w:val="28"/>
        </w:rPr>
        <w:t xml:space="preserve"> </w:t>
      </w:r>
      <w:r w:rsidR="00CF46C6">
        <w:rPr>
          <w:rFonts w:ascii="Times New Roman" w:hAnsi="Times New Roman" w:cs="Times New Roman"/>
          <w:sz w:val="28"/>
          <w:szCs w:val="28"/>
        </w:rPr>
        <w:t>23,5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Финансовые активы в виде дебиторской задолженности по</w:t>
      </w:r>
      <w:r w:rsidR="007A3F91">
        <w:rPr>
          <w:rFonts w:ascii="Times New Roman" w:hAnsi="Times New Roman" w:cs="Times New Roman"/>
          <w:sz w:val="28"/>
          <w:szCs w:val="28"/>
        </w:rPr>
        <w:t xml:space="preserve"> выплатам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01 января 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F46C6">
        <w:rPr>
          <w:rFonts w:ascii="Times New Roman" w:hAnsi="Times New Roman" w:cs="Times New Roman"/>
          <w:sz w:val="28"/>
          <w:szCs w:val="28"/>
        </w:rPr>
        <w:t>23,5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CF46C6">
        <w:rPr>
          <w:rFonts w:ascii="Times New Roman" w:hAnsi="Times New Roman" w:cs="Times New Roman"/>
          <w:sz w:val="28"/>
          <w:szCs w:val="28"/>
        </w:rPr>
        <w:t>7,0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F825AB" w:rsidRPr="00F825AB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F46C6">
        <w:rPr>
          <w:rFonts w:ascii="Times New Roman" w:hAnsi="Times New Roman" w:cs="Times New Roman"/>
          <w:sz w:val="28"/>
          <w:szCs w:val="28"/>
        </w:rPr>
        <w:t>6974,5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CF46C6">
        <w:rPr>
          <w:rFonts w:ascii="Times New Roman" w:hAnsi="Times New Roman" w:cs="Times New Roman"/>
          <w:sz w:val="28"/>
          <w:szCs w:val="28"/>
        </w:rPr>
        <w:t>6967,5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числится: осн</w:t>
      </w:r>
      <w:r w:rsidR="00CF46C6">
        <w:rPr>
          <w:rFonts w:ascii="Times New Roman" w:hAnsi="Times New Roman" w:cs="Times New Roman"/>
          <w:sz w:val="28"/>
          <w:szCs w:val="28"/>
        </w:rPr>
        <w:t>овные средства в эксплуатации – 148,7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соотношения между показателями баланса (ф.0503130), отчета о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деятельности (ф. 0503121) и справки по заключению счетов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7C4DC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Проверка контрольных соотношений между показателями форм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принятых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графам 6-10 – отражены показатели объема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B4348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9522,7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97,4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48F">
        <w:rPr>
          <w:rFonts w:ascii="Times New Roman" w:hAnsi="Times New Roman" w:cs="Times New Roman"/>
          <w:color w:val="000000"/>
          <w:sz w:val="28"/>
          <w:szCs w:val="28"/>
        </w:rPr>
        <w:t>9513,3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B4348F">
        <w:rPr>
          <w:rFonts w:ascii="Times New Roman" w:hAnsi="Times New Roman" w:cs="Times New Roman"/>
          <w:color w:val="000000"/>
          <w:sz w:val="28"/>
          <w:szCs w:val="28"/>
        </w:rPr>
        <w:t>9,4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spellStart"/>
      <w:r w:rsidR="00F622F8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="00F62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E93F0F">
        <w:rPr>
          <w:rFonts w:ascii="Times New Roman" w:hAnsi="Times New Roman" w:cs="Times New Roman"/>
          <w:color w:val="000000"/>
          <w:sz w:val="28"/>
          <w:szCs w:val="28"/>
        </w:rPr>
        <w:t>7,0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1г. составляет </w:t>
      </w:r>
      <w:r w:rsidR="00E93F0F">
        <w:rPr>
          <w:rFonts w:ascii="Times New Roman" w:hAnsi="Times New Roman" w:cs="Times New Roman"/>
          <w:color w:val="000000"/>
          <w:sz w:val="28"/>
          <w:szCs w:val="28"/>
        </w:rPr>
        <w:t>23,5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2C6B7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Согласно требованиям п.п. 151-174 Инструкции №191н пояснительная записка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к отчёту об исполнении бюджета представлена по форме 0503160.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proofErr w:type="spellStart"/>
      <w:r w:rsidR="00E93F0F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proofErr w:type="spellStart"/>
      <w:r w:rsidR="00E93F0F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исполнения бюджета </w:t>
      </w:r>
      <w:proofErr w:type="spellStart"/>
      <w:r w:rsidR="00E93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Новорепинского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proofErr w:type="spellStart"/>
      <w:r w:rsidR="00E93F0F">
        <w:rPr>
          <w:rFonts w:ascii="Times New Roman" w:hAnsi="Times New Roman" w:cs="Times New Roman"/>
          <w:color w:val="0D0D0D"/>
          <w:sz w:val="28"/>
          <w:szCs w:val="28"/>
        </w:rPr>
        <w:t>Новорепинского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proofErr w:type="spellStart"/>
      <w:r w:rsidR="00E93F0F">
        <w:rPr>
          <w:rFonts w:ascii="Times New Roman" w:hAnsi="Times New Roman" w:cs="Times New Roman"/>
          <w:color w:val="0D0D0D"/>
          <w:sz w:val="28"/>
          <w:szCs w:val="28"/>
        </w:rPr>
        <w:t>Новорепинского</w:t>
      </w:r>
      <w:proofErr w:type="spellEnd"/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="00E93F0F">
        <w:rPr>
          <w:rFonts w:ascii="Times New Roman" w:hAnsi="Times New Roman" w:cs="Times New Roman"/>
          <w:color w:val="0D0D0D"/>
          <w:sz w:val="28"/>
          <w:szCs w:val="28"/>
        </w:rPr>
        <w:t>8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19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E93F0F">
        <w:rPr>
          <w:rFonts w:ascii="Times New Roman" w:hAnsi="Times New Roman" w:cs="Times New Roman"/>
          <w:color w:val="0D0D0D"/>
          <w:sz w:val="28"/>
          <w:szCs w:val="28"/>
        </w:rPr>
        <w:t>53-192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proofErr w:type="spellStart"/>
      <w:r w:rsidR="00E93F0F">
        <w:rPr>
          <w:rFonts w:ascii="Times New Roman" w:hAnsi="Times New Roman" w:cs="Times New Roman"/>
          <w:color w:val="0D0D0D"/>
          <w:sz w:val="28"/>
          <w:szCs w:val="28"/>
        </w:rPr>
        <w:t>Новорепинского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E93F0F">
        <w:rPr>
          <w:rFonts w:ascii="Times New Roman" w:hAnsi="Times New Roman" w:cs="Times New Roman"/>
          <w:color w:val="0D0D0D"/>
          <w:sz w:val="28"/>
          <w:szCs w:val="28"/>
        </w:rPr>
        <w:t xml:space="preserve">7373,0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E93F0F">
        <w:rPr>
          <w:rFonts w:ascii="Times New Roman" w:hAnsi="Times New Roman" w:cs="Times New Roman"/>
          <w:color w:val="0D0D0D"/>
          <w:sz w:val="28"/>
          <w:szCs w:val="28"/>
        </w:rPr>
        <w:t>7373,0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Дефицит бюджета составляет 0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В течение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 в данное решение вносились изменения.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В результате изменений сумма доходной части бюджета увеличилась </w:t>
      </w:r>
      <w:proofErr w:type="gramStart"/>
      <w:r w:rsidRPr="009F102F">
        <w:rPr>
          <w:rFonts w:ascii="Times New Roman" w:hAnsi="Times New Roman" w:cs="Times New Roman"/>
          <w:color w:val="0D0D0D"/>
          <w:sz w:val="28"/>
          <w:szCs w:val="28"/>
        </w:rPr>
        <w:t>на</w:t>
      </w:r>
      <w:proofErr w:type="gramEnd"/>
    </w:p>
    <w:p w:rsidR="009F102F" w:rsidRPr="009F102F" w:rsidRDefault="00730AB7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1996,4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27,1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%. Расходной части бюджета увеличилась на </w:t>
      </w:r>
      <w:r w:rsidR="009C538B">
        <w:rPr>
          <w:rFonts w:ascii="Times New Roman" w:hAnsi="Times New Roman" w:cs="Times New Roman"/>
          <w:color w:val="0D0D0D"/>
          <w:sz w:val="28"/>
          <w:szCs w:val="28"/>
        </w:rPr>
        <w:t>2401,7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рублей или на </w:t>
      </w:r>
      <w:r w:rsidR="009C538B">
        <w:rPr>
          <w:rFonts w:ascii="Times New Roman" w:hAnsi="Times New Roman" w:cs="Times New Roman"/>
          <w:color w:val="0D0D0D"/>
          <w:sz w:val="28"/>
          <w:szCs w:val="28"/>
        </w:rPr>
        <w:t>32,6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9C538B">
        <w:rPr>
          <w:rFonts w:ascii="Times New Roman" w:hAnsi="Times New Roman" w:cs="Times New Roman"/>
          <w:color w:val="0D0D0D"/>
          <w:sz w:val="28"/>
          <w:szCs w:val="28"/>
        </w:rPr>
        <w:t>9369,4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9C538B">
        <w:rPr>
          <w:rFonts w:ascii="Times New Roman" w:hAnsi="Times New Roman" w:cs="Times New Roman"/>
          <w:color w:val="0D0D0D"/>
          <w:sz w:val="28"/>
          <w:szCs w:val="28"/>
        </w:rPr>
        <w:t>9774,7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9C538B">
        <w:rPr>
          <w:rFonts w:ascii="Times New Roman" w:hAnsi="Times New Roman" w:cs="Times New Roman"/>
          <w:color w:val="0D0D0D"/>
          <w:sz w:val="28"/>
          <w:szCs w:val="28"/>
        </w:rPr>
        <w:t>-405,3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9C538B">
        <w:rPr>
          <w:rFonts w:ascii="Times New Roman" w:hAnsi="Times New Roman" w:cs="Times New Roman"/>
          <w:color w:val="000000"/>
          <w:sz w:val="28"/>
          <w:szCs w:val="28"/>
        </w:rPr>
        <w:t>9605,4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9C538B">
        <w:rPr>
          <w:rFonts w:ascii="Times New Roman" w:hAnsi="Times New Roman" w:cs="Times New Roman"/>
          <w:color w:val="000000"/>
          <w:sz w:val="28"/>
          <w:szCs w:val="28"/>
        </w:rPr>
        <w:t>102,5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9C538B">
        <w:rPr>
          <w:rFonts w:ascii="Times New Roman" w:hAnsi="Times New Roman" w:cs="Times New Roman"/>
          <w:color w:val="000000"/>
          <w:sz w:val="28"/>
          <w:szCs w:val="28"/>
        </w:rPr>
        <w:t>9513,3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9C538B">
        <w:rPr>
          <w:rFonts w:ascii="Times New Roman" w:hAnsi="Times New Roman" w:cs="Times New Roman"/>
          <w:color w:val="000000"/>
          <w:sz w:val="28"/>
          <w:szCs w:val="28"/>
        </w:rPr>
        <w:t>97,3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38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F102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C538B">
        <w:rPr>
          <w:rFonts w:ascii="Times New Roman" w:hAnsi="Times New Roman" w:cs="Times New Roman"/>
          <w:sz w:val="28"/>
          <w:szCs w:val="28"/>
        </w:rPr>
        <w:t>92,1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9F102F" w:rsidRPr="00ED164F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бюджета </w:t>
      </w:r>
      <w:proofErr w:type="spellStart"/>
      <w:r w:rsidR="00E654A8">
        <w:rPr>
          <w:rFonts w:ascii="Times New Roman" w:hAnsi="Times New Roman" w:cs="Times New Roman"/>
          <w:b/>
          <w:sz w:val="28"/>
          <w:szCs w:val="28"/>
        </w:rPr>
        <w:t>Новорепинского</w:t>
      </w:r>
      <w:proofErr w:type="spellEnd"/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164F" w:rsidRPr="00ED164F">
        <w:rPr>
          <w:rFonts w:ascii="Times New Roman" w:hAnsi="Times New Roman" w:cs="Times New Roman"/>
          <w:sz w:val="28"/>
          <w:szCs w:val="28"/>
        </w:rPr>
        <w:t>.</w:t>
      </w:r>
      <w:r w:rsidRPr="00ED1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64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E654A8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7373,0</w:t>
            </w:r>
          </w:p>
        </w:tc>
        <w:tc>
          <w:tcPr>
            <w:tcW w:w="1418" w:type="dxa"/>
          </w:tcPr>
          <w:p w:rsidR="00144DED" w:rsidRDefault="004B304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9369,4</w:t>
            </w:r>
          </w:p>
        </w:tc>
        <w:tc>
          <w:tcPr>
            <w:tcW w:w="1275" w:type="dxa"/>
          </w:tcPr>
          <w:p w:rsidR="00144DED" w:rsidRDefault="004B304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9605,4</w:t>
            </w:r>
          </w:p>
        </w:tc>
        <w:tc>
          <w:tcPr>
            <w:tcW w:w="1070" w:type="dxa"/>
          </w:tcPr>
          <w:p w:rsidR="00144DED" w:rsidRDefault="004B304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89" w:type="dxa"/>
          </w:tcPr>
          <w:p w:rsidR="00144DED" w:rsidRDefault="004B304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E654A8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4301,7</w:t>
            </w:r>
          </w:p>
        </w:tc>
        <w:tc>
          <w:tcPr>
            <w:tcW w:w="1418" w:type="dxa"/>
          </w:tcPr>
          <w:p w:rsidR="00144DED" w:rsidRDefault="004B304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4301,7</w:t>
            </w:r>
          </w:p>
        </w:tc>
        <w:tc>
          <w:tcPr>
            <w:tcW w:w="1275" w:type="dxa"/>
          </w:tcPr>
          <w:p w:rsidR="00144DED" w:rsidRDefault="004B304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4538,5</w:t>
            </w:r>
          </w:p>
        </w:tc>
        <w:tc>
          <w:tcPr>
            <w:tcW w:w="1070" w:type="dxa"/>
          </w:tcPr>
          <w:p w:rsidR="00144DED" w:rsidRDefault="004B304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589" w:type="dxa"/>
          </w:tcPr>
          <w:p w:rsidR="00144DED" w:rsidRDefault="004B304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236,8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E654A8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3071,3</w:t>
            </w:r>
          </w:p>
        </w:tc>
        <w:tc>
          <w:tcPr>
            <w:tcW w:w="1418" w:type="dxa"/>
          </w:tcPr>
          <w:p w:rsidR="00144DED" w:rsidRDefault="004B3043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5067,7</w:t>
            </w:r>
          </w:p>
        </w:tc>
        <w:tc>
          <w:tcPr>
            <w:tcW w:w="1275" w:type="dxa"/>
          </w:tcPr>
          <w:p w:rsidR="00B466AE" w:rsidRDefault="004B304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5066,5</w:t>
            </w:r>
          </w:p>
        </w:tc>
        <w:tc>
          <w:tcPr>
            <w:tcW w:w="1070" w:type="dxa"/>
          </w:tcPr>
          <w:p w:rsidR="00144DED" w:rsidRDefault="004B304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589" w:type="dxa"/>
          </w:tcPr>
          <w:p w:rsidR="00144DED" w:rsidRDefault="004B3043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-1,2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E654A8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7373,0</w:t>
            </w:r>
          </w:p>
        </w:tc>
        <w:tc>
          <w:tcPr>
            <w:tcW w:w="1418" w:type="dxa"/>
          </w:tcPr>
          <w:p w:rsidR="00144DED" w:rsidRDefault="004B304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9774,7</w:t>
            </w:r>
          </w:p>
        </w:tc>
        <w:tc>
          <w:tcPr>
            <w:tcW w:w="1275" w:type="dxa"/>
          </w:tcPr>
          <w:p w:rsidR="00144DED" w:rsidRDefault="004B304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9513,3</w:t>
            </w:r>
          </w:p>
        </w:tc>
        <w:tc>
          <w:tcPr>
            <w:tcW w:w="1070" w:type="dxa"/>
          </w:tcPr>
          <w:p w:rsidR="00144DED" w:rsidRDefault="004B304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589" w:type="dxa"/>
          </w:tcPr>
          <w:p w:rsidR="00144DED" w:rsidRDefault="004B304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E654A8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4B304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-405,3</w:t>
            </w:r>
          </w:p>
        </w:tc>
        <w:tc>
          <w:tcPr>
            <w:tcW w:w="1275" w:type="dxa"/>
          </w:tcPr>
          <w:p w:rsidR="00867AD5" w:rsidRDefault="004B304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070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AED" w:rsidRDefault="00C16AED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9001B2">
        <w:rPr>
          <w:rFonts w:ascii="Times New Roman" w:hAnsi="Times New Roman" w:cs="Times New Roman"/>
          <w:sz w:val="28"/>
          <w:szCs w:val="28"/>
        </w:rPr>
        <w:t>4538,5</w:t>
      </w:r>
      <w:r w:rsidR="000945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9001B2">
        <w:rPr>
          <w:rFonts w:ascii="Times New Roman" w:hAnsi="Times New Roman" w:cs="Times New Roman"/>
          <w:sz w:val="28"/>
          <w:szCs w:val="28"/>
        </w:rPr>
        <w:t xml:space="preserve">5066,5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FD53EE" w:rsidRPr="00FC36CB" w:rsidRDefault="00FD53EE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proofErr w:type="spellStart"/>
      <w:r w:rsidR="009001B2">
        <w:rPr>
          <w:rFonts w:ascii="Times New Roman" w:hAnsi="Times New Roman" w:cs="Times New Roman"/>
          <w:b/>
          <w:sz w:val="28"/>
          <w:szCs w:val="28"/>
        </w:rPr>
        <w:t>Новорепинского</w:t>
      </w:r>
      <w:proofErr w:type="spellEnd"/>
      <w:r w:rsidR="00900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9001B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4301,7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4301,7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4538,5</w:t>
            </w:r>
          </w:p>
        </w:tc>
        <w:tc>
          <w:tcPr>
            <w:tcW w:w="1559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236,8</w:t>
            </w:r>
          </w:p>
        </w:tc>
        <w:tc>
          <w:tcPr>
            <w:tcW w:w="1276" w:type="dxa"/>
          </w:tcPr>
          <w:p w:rsidR="00C80913" w:rsidRPr="00CD69C2" w:rsidRDefault="00CD30E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099" w:type="dxa"/>
          </w:tcPr>
          <w:p w:rsidR="00C80913" w:rsidRDefault="00CD30E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9001B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4153,4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4109,4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4343,3</w:t>
            </w:r>
          </w:p>
        </w:tc>
        <w:tc>
          <w:tcPr>
            <w:tcW w:w="1559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</w:t>
            </w:r>
          </w:p>
        </w:tc>
        <w:tc>
          <w:tcPr>
            <w:tcW w:w="1276" w:type="dxa"/>
          </w:tcPr>
          <w:p w:rsidR="00C80913" w:rsidRPr="00CD69C2" w:rsidRDefault="00CD30E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099" w:type="dxa"/>
          </w:tcPr>
          <w:p w:rsidR="00C80913" w:rsidRDefault="00CD30E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</w:t>
            </w:r>
            <w:r w:rsidR="004875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9001B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1072,6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1083,6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1231,2</w:t>
            </w:r>
          </w:p>
        </w:tc>
        <w:tc>
          <w:tcPr>
            <w:tcW w:w="1559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276" w:type="dxa"/>
          </w:tcPr>
          <w:p w:rsidR="00C80913" w:rsidRPr="00CD69C2" w:rsidRDefault="00CD30E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099" w:type="dxa"/>
          </w:tcPr>
          <w:p w:rsidR="00C80913" w:rsidRPr="008B2E2C" w:rsidRDefault="00CD30E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9001B2" w:rsidTr="00E23417">
        <w:tc>
          <w:tcPr>
            <w:tcW w:w="2235" w:type="dxa"/>
          </w:tcPr>
          <w:p w:rsidR="009001B2" w:rsidRPr="00FC36CB" w:rsidRDefault="009001B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134" w:type="dxa"/>
          </w:tcPr>
          <w:p w:rsidR="009001B2" w:rsidRDefault="009001B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134" w:type="dxa"/>
          </w:tcPr>
          <w:p w:rsidR="009001B2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134" w:type="dxa"/>
          </w:tcPr>
          <w:p w:rsidR="009001B2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597,2</w:t>
            </w:r>
          </w:p>
        </w:tc>
        <w:tc>
          <w:tcPr>
            <w:tcW w:w="1559" w:type="dxa"/>
          </w:tcPr>
          <w:p w:rsidR="009001B2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276" w:type="dxa"/>
          </w:tcPr>
          <w:p w:rsidR="009001B2" w:rsidRPr="00CD69C2" w:rsidRDefault="00CD30E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099" w:type="dxa"/>
          </w:tcPr>
          <w:p w:rsidR="009001B2" w:rsidRPr="008B2E2C" w:rsidRDefault="00CD30E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9001B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2592,4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2555,4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2508,5</w:t>
            </w:r>
          </w:p>
        </w:tc>
        <w:tc>
          <w:tcPr>
            <w:tcW w:w="1559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-46,9</w:t>
            </w:r>
          </w:p>
        </w:tc>
        <w:tc>
          <w:tcPr>
            <w:tcW w:w="1276" w:type="dxa"/>
          </w:tcPr>
          <w:p w:rsidR="00C80913" w:rsidRPr="00CD69C2" w:rsidRDefault="00CD30E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99" w:type="dxa"/>
          </w:tcPr>
          <w:p w:rsidR="00C80913" w:rsidRPr="008B2E2C" w:rsidRDefault="00A575F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9001B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C80913" w:rsidRPr="00CD69C2" w:rsidRDefault="00CD30E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099" w:type="dxa"/>
          </w:tcPr>
          <w:p w:rsidR="00C80913" w:rsidRPr="008B2E2C" w:rsidRDefault="00A575F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9001B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1559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-7,1</w:t>
            </w:r>
          </w:p>
        </w:tc>
        <w:tc>
          <w:tcPr>
            <w:tcW w:w="1276" w:type="dxa"/>
          </w:tcPr>
          <w:p w:rsidR="00C80913" w:rsidRPr="00CD69C2" w:rsidRDefault="00CD30E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99" w:type="dxa"/>
          </w:tcPr>
          <w:p w:rsidR="00C80913" w:rsidRPr="00270A9D" w:rsidRDefault="00A575F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C80913" w:rsidRPr="00CD69C2" w:rsidRDefault="009001B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134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134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1559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-19,4</w:t>
            </w:r>
          </w:p>
        </w:tc>
        <w:tc>
          <w:tcPr>
            <w:tcW w:w="1276" w:type="dxa"/>
          </w:tcPr>
          <w:p w:rsidR="00C80913" w:rsidRPr="00CD69C2" w:rsidRDefault="00CD30E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099" w:type="dxa"/>
          </w:tcPr>
          <w:p w:rsidR="00C80913" w:rsidRPr="008B2E2C" w:rsidRDefault="00A575F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0238D" w:rsidTr="00E23417">
        <w:tc>
          <w:tcPr>
            <w:tcW w:w="2235" w:type="dxa"/>
          </w:tcPr>
          <w:p w:rsidR="0070238D" w:rsidRPr="00B044B5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134" w:type="dxa"/>
          </w:tcPr>
          <w:p w:rsidR="0070238D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238D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238D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59" w:type="dxa"/>
          </w:tcPr>
          <w:p w:rsidR="0070238D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6" w:type="dxa"/>
          </w:tcPr>
          <w:p w:rsidR="0070238D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0238D" w:rsidRPr="008B2E2C" w:rsidRDefault="00A575F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3071,3</w:t>
            </w:r>
          </w:p>
        </w:tc>
        <w:tc>
          <w:tcPr>
            <w:tcW w:w="1134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5067,7</w:t>
            </w:r>
          </w:p>
        </w:tc>
        <w:tc>
          <w:tcPr>
            <w:tcW w:w="1134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5066,5</w:t>
            </w:r>
          </w:p>
        </w:tc>
        <w:tc>
          <w:tcPr>
            <w:tcW w:w="1559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1276" w:type="dxa"/>
          </w:tcPr>
          <w:p w:rsidR="00C80913" w:rsidRPr="00CD69C2" w:rsidRDefault="00CD30E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C80913" w:rsidRPr="00270A9D" w:rsidRDefault="00A575F9" w:rsidP="0048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</w:t>
            </w:r>
            <w:r w:rsidR="004875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1134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1134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1559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A575F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C2077" w:rsidTr="00E23417">
        <w:tc>
          <w:tcPr>
            <w:tcW w:w="2235" w:type="dxa"/>
          </w:tcPr>
          <w:p w:rsidR="004C2077" w:rsidRPr="00B044B5" w:rsidRDefault="004C207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134" w:type="dxa"/>
          </w:tcPr>
          <w:p w:rsidR="004C2077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2077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1318,2</w:t>
            </w:r>
          </w:p>
        </w:tc>
        <w:tc>
          <w:tcPr>
            <w:tcW w:w="1134" w:type="dxa"/>
          </w:tcPr>
          <w:p w:rsidR="004C2077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1318,2</w:t>
            </w:r>
          </w:p>
        </w:tc>
        <w:tc>
          <w:tcPr>
            <w:tcW w:w="1559" w:type="dxa"/>
          </w:tcPr>
          <w:p w:rsidR="004C2077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2077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4C2077" w:rsidRPr="008B2E2C" w:rsidRDefault="00A575F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134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134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559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48752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2722,0</w:t>
            </w:r>
          </w:p>
        </w:tc>
        <w:tc>
          <w:tcPr>
            <w:tcW w:w="1134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2722,0</w:t>
            </w:r>
          </w:p>
        </w:tc>
        <w:tc>
          <w:tcPr>
            <w:tcW w:w="1134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2721,0</w:t>
            </w:r>
          </w:p>
        </w:tc>
        <w:tc>
          <w:tcPr>
            <w:tcW w:w="1559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1276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C80913" w:rsidRPr="008B2E2C" w:rsidRDefault="0048752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70238D" w:rsidTr="00E23417">
        <w:tc>
          <w:tcPr>
            <w:tcW w:w="2235" w:type="dxa"/>
          </w:tcPr>
          <w:p w:rsidR="0070238D" w:rsidRPr="00B044B5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</w:tcPr>
          <w:p w:rsidR="0070238D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238D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0238D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70238D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0238D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0238D" w:rsidRPr="008B2E2C" w:rsidRDefault="0048752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213CDA" w:rsidTr="00E23417">
        <w:tc>
          <w:tcPr>
            <w:tcW w:w="2235" w:type="dxa"/>
          </w:tcPr>
          <w:p w:rsidR="00213CDA" w:rsidRPr="00B044B5" w:rsidRDefault="00213CDA" w:rsidP="00702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безвозмездные </w:t>
            </w:r>
            <w:r w:rsidR="0070238D">
              <w:rPr>
                <w:rFonts w:ascii="Times New Roman" w:hAnsi="Times New Roman" w:cs="Times New Roman"/>
              </w:rPr>
              <w:t>перечисления</w:t>
            </w:r>
          </w:p>
        </w:tc>
        <w:tc>
          <w:tcPr>
            <w:tcW w:w="1134" w:type="dxa"/>
          </w:tcPr>
          <w:p w:rsidR="00213CDA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3CDA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1134" w:type="dxa"/>
          </w:tcPr>
          <w:p w:rsidR="00213CDA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559" w:type="dxa"/>
          </w:tcPr>
          <w:p w:rsidR="00213CDA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276" w:type="dxa"/>
          </w:tcPr>
          <w:p w:rsidR="00213CDA" w:rsidRDefault="00CD30E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213CDA" w:rsidRDefault="0048752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CD69C2" w:rsidRDefault="006A2FF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7373,0</w:t>
            </w:r>
          </w:p>
        </w:tc>
        <w:tc>
          <w:tcPr>
            <w:tcW w:w="1134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9369,4</w:t>
            </w:r>
          </w:p>
        </w:tc>
        <w:tc>
          <w:tcPr>
            <w:tcW w:w="1134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9605,4</w:t>
            </w:r>
          </w:p>
        </w:tc>
        <w:tc>
          <w:tcPr>
            <w:tcW w:w="1559" w:type="dxa"/>
          </w:tcPr>
          <w:p w:rsidR="00C80913" w:rsidRPr="00CD69C2" w:rsidRDefault="0070238D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276" w:type="dxa"/>
          </w:tcPr>
          <w:p w:rsidR="00C80913" w:rsidRPr="00CD69C2" w:rsidRDefault="00CD30EC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099" w:type="dxa"/>
          </w:tcPr>
          <w:p w:rsidR="00C80913" w:rsidRPr="008B2E2C" w:rsidRDefault="00E02D4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Default="00B16B69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1231,2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0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113,6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1083,6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16B69" w:rsidRPr="00B16B69" w:rsidRDefault="00B16B69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6B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Единый сельскохозяйственный налог </w:t>
      </w:r>
      <w:r>
        <w:rPr>
          <w:rFonts w:ascii="Times New Roman" w:hAnsi="Times New Roman" w:cs="Times New Roman"/>
          <w:color w:val="000000"/>
          <w:sz w:val="28"/>
          <w:szCs w:val="28"/>
        </w:rPr>
        <w:t>в 2020 году составил 597,2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 при плане 454,9 тыс.рублей и составляет 131,3%.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B16B69">
        <w:rPr>
          <w:rFonts w:ascii="Times New Roman" w:hAnsi="Times New Roman" w:cs="Times New Roman"/>
          <w:color w:val="000000"/>
          <w:sz w:val="28"/>
          <w:szCs w:val="28"/>
        </w:rPr>
        <w:t>2508,5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B16B69">
        <w:rPr>
          <w:rFonts w:ascii="Times New Roman" w:hAnsi="Times New Roman" w:cs="Times New Roman"/>
          <w:color w:val="000000"/>
          <w:sz w:val="28"/>
          <w:szCs w:val="28"/>
        </w:rPr>
        <w:t>2555,4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B16B69">
        <w:rPr>
          <w:rFonts w:ascii="Times New Roman" w:hAnsi="Times New Roman" w:cs="Times New Roman"/>
          <w:color w:val="000000"/>
          <w:sz w:val="28"/>
          <w:szCs w:val="28"/>
        </w:rPr>
        <w:t>98,2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B16B69">
        <w:rPr>
          <w:rFonts w:ascii="Times New Roman" w:hAnsi="Times New Roman" w:cs="Times New Roman"/>
          <w:color w:val="000000"/>
          <w:sz w:val="28"/>
          <w:szCs w:val="28"/>
        </w:rPr>
        <w:t>16,5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B16B69">
        <w:rPr>
          <w:rFonts w:ascii="Times New Roman" w:hAnsi="Times New Roman" w:cs="Times New Roman"/>
          <w:color w:val="000000"/>
          <w:sz w:val="28"/>
          <w:szCs w:val="28"/>
        </w:rPr>
        <w:t xml:space="preserve"> при плане 15,5 тыс.рублей и составляет 106,5%</w:t>
      </w:r>
      <w:r w:rsidR="00C060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387C04" w:rsidRDefault="00FD53EE" w:rsidP="00387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387C04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77F">
        <w:rPr>
          <w:rFonts w:ascii="Times New Roman" w:hAnsi="Times New Roman" w:cs="Times New Roman"/>
          <w:color w:val="000000"/>
          <w:sz w:val="28"/>
          <w:szCs w:val="28"/>
        </w:rPr>
        <w:t>26,1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E0377F">
        <w:rPr>
          <w:rFonts w:ascii="Times New Roman" w:hAnsi="Times New Roman" w:cs="Times New Roman"/>
          <w:color w:val="000000"/>
          <w:sz w:val="28"/>
          <w:szCs w:val="28"/>
        </w:rPr>
        <w:t>2508,5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</w:t>
      </w:r>
      <w:r w:rsidR="00E0377F">
        <w:rPr>
          <w:rFonts w:ascii="Times New Roman" w:hAnsi="Times New Roman" w:cs="Times New Roman"/>
          <w:color w:val="000000"/>
          <w:sz w:val="28"/>
          <w:szCs w:val="28"/>
        </w:rPr>
        <w:t xml:space="preserve">налог на </w:t>
      </w:r>
      <w:r w:rsidR="00387C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87C04" w:rsidRPr="00387C04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E0377F">
        <w:rPr>
          <w:rFonts w:ascii="Times New Roman" w:hAnsi="Times New Roman" w:cs="Times New Roman"/>
          <w:sz w:val="28"/>
          <w:szCs w:val="28"/>
        </w:rPr>
        <w:t>физических лиц</w:t>
      </w:r>
      <w:r w:rsidR="00387C04">
        <w:rPr>
          <w:rFonts w:ascii="Times New Roman" w:hAnsi="Times New Roman" w:cs="Times New Roman"/>
          <w:sz w:val="28"/>
          <w:szCs w:val="28"/>
        </w:rPr>
        <w:t xml:space="preserve"> 1</w:t>
      </w:r>
      <w:r w:rsidR="00E0377F">
        <w:rPr>
          <w:rFonts w:ascii="Times New Roman" w:hAnsi="Times New Roman" w:cs="Times New Roman"/>
          <w:sz w:val="28"/>
          <w:szCs w:val="28"/>
        </w:rPr>
        <w:t>2</w:t>
      </w:r>
      <w:r w:rsidR="00387C04">
        <w:rPr>
          <w:rFonts w:ascii="Times New Roman" w:hAnsi="Times New Roman" w:cs="Times New Roman"/>
          <w:sz w:val="28"/>
          <w:szCs w:val="28"/>
        </w:rPr>
        <w:t>,</w:t>
      </w:r>
      <w:r w:rsidR="00E0377F">
        <w:rPr>
          <w:rFonts w:ascii="Times New Roman" w:hAnsi="Times New Roman" w:cs="Times New Roman"/>
          <w:sz w:val="28"/>
          <w:szCs w:val="28"/>
        </w:rPr>
        <w:t>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E0377F">
        <w:rPr>
          <w:rFonts w:ascii="Times New Roman" w:hAnsi="Times New Roman" w:cs="Times New Roman"/>
          <w:color w:val="000000"/>
          <w:sz w:val="28"/>
          <w:szCs w:val="28"/>
        </w:rPr>
        <w:t>1231,2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DC69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387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>5066,5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D53EE" w:rsidRPr="00FD53EE" w:rsidRDefault="00FD53EE" w:rsidP="0038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бюджетных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назначениях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>5067,7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>146,8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463B29">
        <w:rPr>
          <w:rFonts w:ascii="Times New Roman" w:hAnsi="Times New Roman" w:cs="Times New Roman"/>
          <w:color w:val="0D0D0D"/>
          <w:sz w:val="28"/>
          <w:szCs w:val="28"/>
        </w:rPr>
        <w:t>1,5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в общей сумме безвозмездных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поступлений.</w:t>
      </w:r>
    </w:p>
    <w:p w:rsidR="005775C1" w:rsidRDefault="00FD53EE" w:rsidP="00577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исполнена в объеме </w:t>
      </w:r>
    </w:p>
    <w:p w:rsidR="00FD53EE" w:rsidRDefault="00463B29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227,3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>на территориях, где отсутствуют военные комиссариаты</w:t>
      </w:r>
      <w:r w:rsidR="005775C1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исполнена в объеме 100% </w:t>
      </w:r>
      <w:r w:rsidR="005775C1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B25FD5" w:rsidRPr="00FD53EE" w:rsidRDefault="00B25FD5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B25FD5">
        <w:rPr>
          <w:rFonts w:ascii="Times New Roman" w:hAnsi="Times New Roman" w:cs="Times New Roman"/>
          <w:i/>
          <w:color w:val="0D0D0D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бюджетам сельских поселений на обеспечение комплексного развития сельских территорий исполнены в сумме 1</w:t>
      </w:r>
      <w:r w:rsidR="00463B29">
        <w:rPr>
          <w:rFonts w:ascii="Times New Roman" w:hAnsi="Times New Roman" w:cs="Times New Roman"/>
          <w:color w:val="0D0D0D"/>
          <w:sz w:val="28"/>
          <w:szCs w:val="28"/>
        </w:rPr>
        <w:t>318,2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>уб. или 100%.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Межбюджетные трансферты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>2721,0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имеют целевое назначение, исполнены в объеме 100% и переданы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поселение на осуществление дорожной деятельности в отношении автомобильных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 значения в границах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поселений.</w:t>
      </w:r>
    </w:p>
    <w:p w:rsidR="00B25FD5" w:rsidRDefault="00463B29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Безвозмездные поступления от негосударственных организаций в бюджеты сельских поселений </w:t>
      </w:r>
      <w:r w:rsidR="00C52C1B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C52C1B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C52C1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52C1B">
        <w:rPr>
          <w:rFonts w:ascii="Times New Roman" w:hAnsi="Times New Roman" w:cs="Times New Roman"/>
          <w:color w:val="000000"/>
          <w:sz w:val="28"/>
          <w:szCs w:val="28"/>
        </w:rPr>
        <w:t>уб. или 100%  к уточненному плану.</w:t>
      </w:r>
    </w:p>
    <w:p w:rsidR="00463B29" w:rsidRPr="00FD53EE" w:rsidRDefault="00463B29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B29">
        <w:rPr>
          <w:rFonts w:ascii="Times New Roman" w:hAnsi="Times New Roman" w:cs="Times New Roman"/>
          <w:i/>
          <w:color w:val="000000"/>
          <w:sz w:val="28"/>
          <w:szCs w:val="28"/>
        </w:rPr>
        <w:t>Прочие безвозмездные перечисления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исполнены в сумме 553,1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 или 99,9%  к плановым.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463B29">
        <w:rPr>
          <w:rFonts w:ascii="Times New Roman" w:hAnsi="Times New Roman" w:cs="Times New Roman"/>
          <w:color w:val="0D0D0D"/>
          <w:sz w:val="28"/>
          <w:szCs w:val="28"/>
        </w:rPr>
        <w:t>52,8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%,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463B29">
        <w:rPr>
          <w:rFonts w:ascii="Times New Roman" w:hAnsi="Times New Roman" w:cs="Times New Roman"/>
          <w:color w:val="0D0D0D"/>
          <w:sz w:val="28"/>
          <w:szCs w:val="28"/>
        </w:rPr>
        <w:t>28,3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занимает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иные межбюджетные трансферты </w:t>
      </w:r>
      <w:r w:rsidR="00463B29">
        <w:rPr>
          <w:rFonts w:ascii="Times New Roman" w:hAnsi="Times New Roman" w:cs="Times New Roman"/>
          <w:color w:val="0D0D0D"/>
          <w:sz w:val="28"/>
          <w:szCs w:val="28"/>
        </w:rPr>
        <w:t>2721,0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proofErr w:type="spellStart"/>
      <w:r w:rsidR="00463B29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>9605,4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>102,5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6532EA">
        <w:rPr>
          <w:rFonts w:ascii="Times New Roman" w:hAnsi="Times New Roman" w:cs="Times New Roman"/>
          <w:sz w:val="28"/>
          <w:szCs w:val="28"/>
        </w:rPr>
        <w:t>Расходы бюджета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91A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="00653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по</w:t>
      </w:r>
      <w:r w:rsidR="00653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170996">
        <w:rPr>
          <w:rFonts w:ascii="Times New Roman" w:hAnsi="Times New Roman" w:cs="Times New Roman"/>
          <w:color w:val="000000"/>
          <w:sz w:val="28"/>
          <w:szCs w:val="28"/>
        </w:rPr>
        <w:t>9774,7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170996">
        <w:rPr>
          <w:rFonts w:ascii="Times New Roman" w:hAnsi="Times New Roman" w:cs="Times New Roman"/>
          <w:color w:val="000000"/>
          <w:sz w:val="28"/>
          <w:szCs w:val="28"/>
        </w:rPr>
        <w:t>9513,3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170996">
        <w:rPr>
          <w:rFonts w:ascii="Times New Roman" w:hAnsi="Times New Roman" w:cs="Times New Roman"/>
          <w:color w:val="000000"/>
          <w:sz w:val="28"/>
          <w:szCs w:val="28"/>
        </w:rPr>
        <w:t>97,3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CD691A">
        <w:rPr>
          <w:rFonts w:ascii="Times New Roman" w:hAnsi="Times New Roman" w:cs="Times New Roman"/>
          <w:color w:val="0D0D0D"/>
          <w:sz w:val="28"/>
          <w:szCs w:val="28"/>
        </w:rPr>
        <w:t>2401,7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CD691A">
        <w:rPr>
          <w:rFonts w:ascii="Times New Roman" w:hAnsi="Times New Roman" w:cs="Times New Roman"/>
          <w:color w:val="0D0D0D"/>
          <w:sz w:val="28"/>
          <w:szCs w:val="28"/>
        </w:rPr>
        <w:t>32,6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Pr="00BB48B7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20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tbl>
      <w:tblPr>
        <w:tblStyle w:val="a7"/>
        <w:tblW w:w="9287" w:type="dxa"/>
        <w:tblLayout w:type="fixed"/>
        <w:tblLook w:val="04A0"/>
      </w:tblPr>
      <w:tblGrid>
        <w:gridCol w:w="959"/>
        <w:gridCol w:w="2268"/>
        <w:gridCol w:w="992"/>
        <w:gridCol w:w="992"/>
        <w:gridCol w:w="993"/>
        <w:gridCol w:w="1134"/>
        <w:gridCol w:w="850"/>
        <w:gridCol w:w="1099"/>
      </w:tblGrid>
      <w:tr w:rsidR="007E22A7" w:rsidTr="00E73793">
        <w:tc>
          <w:tcPr>
            <w:tcW w:w="959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993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850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исполнения 2020 г. </w:t>
            </w:r>
          </w:p>
        </w:tc>
      </w:tr>
      <w:tr w:rsidR="007E22A7" w:rsidTr="00E73793">
        <w:tc>
          <w:tcPr>
            <w:tcW w:w="959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992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7373,0</w:t>
            </w:r>
          </w:p>
        </w:tc>
        <w:tc>
          <w:tcPr>
            <w:tcW w:w="992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9774,7</w:t>
            </w:r>
          </w:p>
        </w:tc>
        <w:tc>
          <w:tcPr>
            <w:tcW w:w="993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9513,3</w:t>
            </w:r>
          </w:p>
        </w:tc>
        <w:tc>
          <w:tcPr>
            <w:tcW w:w="1134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-261,4</w:t>
            </w:r>
          </w:p>
        </w:tc>
        <w:tc>
          <w:tcPr>
            <w:tcW w:w="850" w:type="dxa"/>
          </w:tcPr>
          <w:p w:rsidR="007E22A7" w:rsidRPr="00CD69C2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099" w:type="dxa"/>
          </w:tcPr>
          <w:p w:rsidR="00D009E6" w:rsidRPr="00644861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3497,3</w:t>
            </w:r>
          </w:p>
        </w:tc>
        <w:tc>
          <w:tcPr>
            <w:tcW w:w="992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3849,9</w:t>
            </w:r>
          </w:p>
        </w:tc>
        <w:tc>
          <w:tcPr>
            <w:tcW w:w="993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3718,0</w:t>
            </w:r>
          </w:p>
        </w:tc>
        <w:tc>
          <w:tcPr>
            <w:tcW w:w="1134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-131,9</w:t>
            </w:r>
          </w:p>
        </w:tc>
        <w:tc>
          <w:tcPr>
            <w:tcW w:w="850" w:type="dxa"/>
          </w:tcPr>
          <w:p w:rsidR="007E22A7" w:rsidRPr="00CD69C2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099" w:type="dxa"/>
          </w:tcPr>
          <w:p w:rsidR="007E22A7" w:rsidRPr="00D009E6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39,1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992" w:type="dxa"/>
          </w:tcPr>
          <w:p w:rsidR="007E22A7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820,2</w:t>
            </w:r>
          </w:p>
        </w:tc>
        <w:tc>
          <w:tcPr>
            <w:tcW w:w="992" w:type="dxa"/>
          </w:tcPr>
          <w:p w:rsidR="007E22A7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864,2</w:t>
            </w:r>
          </w:p>
        </w:tc>
        <w:tc>
          <w:tcPr>
            <w:tcW w:w="993" w:type="dxa"/>
          </w:tcPr>
          <w:p w:rsidR="007E22A7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1134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  <w:tc>
          <w:tcPr>
            <w:tcW w:w="850" w:type="dxa"/>
          </w:tcPr>
          <w:p w:rsidR="007E22A7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99" w:type="dxa"/>
          </w:tcPr>
          <w:p w:rsidR="007E22A7" w:rsidRPr="00644861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органов</w:t>
            </w:r>
          </w:p>
        </w:tc>
        <w:tc>
          <w:tcPr>
            <w:tcW w:w="992" w:type="dxa"/>
          </w:tcPr>
          <w:p w:rsidR="00E73793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E73793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</w:tcPr>
          <w:p w:rsidR="00E73793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E73793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26923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E73793" w:rsidRPr="00D009E6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992" w:type="dxa"/>
          </w:tcPr>
          <w:p w:rsidR="00E73793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2650,5</w:t>
            </w:r>
          </w:p>
        </w:tc>
        <w:tc>
          <w:tcPr>
            <w:tcW w:w="992" w:type="dxa"/>
          </w:tcPr>
          <w:p w:rsidR="00E73793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2982,8</w:t>
            </w:r>
          </w:p>
        </w:tc>
        <w:tc>
          <w:tcPr>
            <w:tcW w:w="993" w:type="dxa"/>
          </w:tcPr>
          <w:p w:rsidR="00E73793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2853,0</w:t>
            </w:r>
          </w:p>
        </w:tc>
        <w:tc>
          <w:tcPr>
            <w:tcW w:w="1134" w:type="dxa"/>
          </w:tcPr>
          <w:p w:rsidR="00E73793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-129,8</w:t>
            </w:r>
          </w:p>
        </w:tc>
        <w:tc>
          <w:tcPr>
            <w:tcW w:w="850" w:type="dxa"/>
          </w:tcPr>
          <w:p w:rsidR="00E73793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099" w:type="dxa"/>
          </w:tcPr>
          <w:p w:rsidR="00E73793" w:rsidRPr="00D009E6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73793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E73793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3793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793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3793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E73793" w:rsidRPr="00D009E6" w:rsidRDefault="00170996" w:rsidP="004C5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68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992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992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993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1134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D009E6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170996" w:rsidTr="00E73793">
        <w:tc>
          <w:tcPr>
            <w:tcW w:w="959" w:type="dxa"/>
          </w:tcPr>
          <w:p w:rsidR="00170996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2268" w:type="dxa"/>
          </w:tcPr>
          <w:p w:rsidR="00170996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170996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170996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0996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0996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0996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70996" w:rsidRPr="00D009E6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2722,0</w:t>
            </w:r>
          </w:p>
        </w:tc>
        <w:tc>
          <w:tcPr>
            <w:tcW w:w="992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2722,0</w:t>
            </w:r>
          </w:p>
        </w:tc>
        <w:tc>
          <w:tcPr>
            <w:tcW w:w="993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2721,1</w:t>
            </w:r>
          </w:p>
        </w:tc>
        <w:tc>
          <w:tcPr>
            <w:tcW w:w="1134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850" w:type="dxa"/>
          </w:tcPr>
          <w:p w:rsidR="007E22A7" w:rsidRPr="00CD69C2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99" w:type="dxa"/>
          </w:tcPr>
          <w:p w:rsidR="007E22A7" w:rsidRPr="00D009E6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724,2</w:t>
            </w:r>
          </w:p>
        </w:tc>
        <w:tc>
          <w:tcPr>
            <w:tcW w:w="992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2821,9</w:t>
            </w:r>
          </w:p>
        </w:tc>
        <w:tc>
          <w:tcPr>
            <w:tcW w:w="993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2693,3</w:t>
            </w:r>
          </w:p>
        </w:tc>
        <w:tc>
          <w:tcPr>
            <w:tcW w:w="1134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-128,6</w:t>
            </w:r>
          </w:p>
        </w:tc>
        <w:tc>
          <w:tcPr>
            <w:tcW w:w="850" w:type="dxa"/>
          </w:tcPr>
          <w:p w:rsidR="007E22A7" w:rsidRPr="00CD69C2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099" w:type="dxa"/>
          </w:tcPr>
          <w:p w:rsidR="007E22A7" w:rsidRPr="00D009E6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</w:p>
        </w:tc>
      </w:tr>
      <w:tr w:rsidR="00E14060" w:rsidTr="00E73793">
        <w:tc>
          <w:tcPr>
            <w:tcW w:w="959" w:type="dxa"/>
          </w:tcPr>
          <w:p w:rsidR="00E14060" w:rsidRPr="007E22A7" w:rsidRDefault="00E140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268" w:type="dxa"/>
          </w:tcPr>
          <w:p w:rsidR="00E14060" w:rsidRPr="007E22A7" w:rsidRDefault="00E140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2" w:type="dxa"/>
          </w:tcPr>
          <w:p w:rsidR="00E14060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14060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1410,1</w:t>
            </w:r>
          </w:p>
        </w:tc>
        <w:tc>
          <w:tcPr>
            <w:tcW w:w="993" w:type="dxa"/>
          </w:tcPr>
          <w:p w:rsidR="00E14060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1349,4</w:t>
            </w:r>
          </w:p>
        </w:tc>
        <w:tc>
          <w:tcPr>
            <w:tcW w:w="1134" w:type="dxa"/>
          </w:tcPr>
          <w:p w:rsidR="00E14060" w:rsidRDefault="00CA3D0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-60,7</w:t>
            </w:r>
          </w:p>
        </w:tc>
        <w:tc>
          <w:tcPr>
            <w:tcW w:w="850" w:type="dxa"/>
          </w:tcPr>
          <w:p w:rsidR="00E14060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099" w:type="dxa"/>
          </w:tcPr>
          <w:p w:rsidR="00E14060" w:rsidRPr="00644861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E14060" w:rsidTr="00E73793">
        <w:tc>
          <w:tcPr>
            <w:tcW w:w="959" w:type="dxa"/>
          </w:tcPr>
          <w:p w:rsidR="00E14060" w:rsidRPr="007E22A7" w:rsidRDefault="00E140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268" w:type="dxa"/>
          </w:tcPr>
          <w:p w:rsidR="00E14060" w:rsidRPr="007E22A7" w:rsidRDefault="00E140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</w:tcPr>
          <w:p w:rsidR="00E14060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424,2</w:t>
            </w:r>
          </w:p>
        </w:tc>
        <w:tc>
          <w:tcPr>
            <w:tcW w:w="992" w:type="dxa"/>
          </w:tcPr>
          <w:p w:rsidR="00E14060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1411,8</w:t>
            </w:r>
          </w:p>
        </w:tc>
        <w:tc>
          <w:tcPr>
            <w:tcW w:w="993" w:type="dxa"/>
          </w:tcPr>
          <w:p w:rsidR="00E14060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1343,9</w:t>
            </w:r>
          </w:p>
        </w:tc>
        <w:tc>
          <w:tcPr>
            <w:tcW w:w="1134" w:type="dxa"/>
          </w:tcPr>
          <w:p w:rsidR="00E14060" w:rsidRDefault="00CA3D0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-67,9</w:t>
            </w:r>
          </w:p>
        </w:tc>
        <w:tc>
          <w:tcPr>
            <w:tcW w:w="850" w:type="dxa"/>
          </w:tcPr>
          <w:p w:rsidR="00E14060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099" w:type="dxa"/>
          </w:tcPr>
          <w:p w:rsidR="00E14060" w:rsidRPr="00644861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92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993" w:type="dxa"/>
          </w:tcPr>
          <w:p w:rsidR="007E22A7" w:rsidRPr="00CD69C2" w:rsidRDefault="0017099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1134" w:type="dxa"/>
          </w:tcPr>
          <w:p w:rsidR="007E22A7" w:rsidRPr="00CD69C2" w:rsidRDefault="00CA3D09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D009E6" w:rsidRDefault="00DB1E6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AF7F86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3718,0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96,6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3849,9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39,1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AF7F86">
        <w:rPr>
          <w:rFonts w:ascii="Times New Roman" w:hAnsi="Times New Roman" w:cs="Times New Roman"/>
          <w:color w:val="000000"/>
          <w:sz w:val="28"/>
          <w:szCs w:val="28"/>
        </w:rPr>
        <w:t>862,1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327952">
        <w:rPr>
          <w:rFonts w:ascii="Times New Roman" w:hAnsi="Times New Roman" w:cs="Times New Roman"/>
          <w:color w:val="000000"/>
          <w:sz w:val="28"/>
          <w:szCs w:val="28"/>
        </w:rPr>
        <w:t>99,</w:t>
      </w:r>
      <w:r w:rsidR="00AF7F8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запланированных бюджетных назначений </w:t>
      </w:r>
      <w:r w:rsidR="00AF7F86">
        <w:rPr>
          <w:rFonts w:ascii="Times New Roman" w:hAnsi="Times New Roman" w:cs="Times New Roman"/>
          <w:color w:val="000000"/>
          <w:sz w:val="28"/>
          <w:szCs w:val="28"/>
        </w:rPr>
        <w:t>864,2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AF7F86">
        <w:rPr>
          <w:rFonts w:ascii="Times New Roman" w:hAnsi="Times New Roman" w:cs="Times New Roman"/>
          <w:color w:val="000000"/>
          <w:sz w:val="28"/>
          <w:szCs w:val="28"/>
        </w:rPr>
        <w:t>9,1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AF7F86">
        <w:rPr>
          <w:rFonts w:ascii="Times New Roman" w:hAnsi="Times New Roman" w:cs="Times New Roman"/>
          <w:sz w:val="28"/>
          <w:szCs w:val="28"/>
        </w:rPr>
        <w:t>2,9</w:t>
      </w:r>
      <w:r w:rsidR="009B0D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или 100%.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AF7F86">
        <w:rPr>
          <w:rFonts w:ascii="Times New Roman" w:hAnsi="Times New Roman" w:cs="Times New Roman"/>
          <w:sz w:val="28"/>
          <w:szCs w:val="28"/>
        </w:rPr>
        <w:t>2982,8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F7F86">
        <w:rPr>
          <w:rFonts w:ascii="Times New Roman" w:hAnsi="Times New Roman" w:cs="Times New Roman"/>
          <w:sz w:val="28"/>
          <w:szCs w:val="28"/>
        </w:rPr>
        <w:t>2853,0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AF7F86">
        <w:rPr>
          <w:rFonts w:ascii="Times New Roman" w:hAnsi="Times New Roman" w:cs="Times New Roman"/>
          <w:sz w:val="28"/>
          <w:szCs w:val="28"/>
        </w:rPr>
        <w:t>95,6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«мобилизационная и </w:t>
      </w:r>
      <w:proofErr w:type="spellStart"/>
      <w:r w:rsidRPr="00FD53EE">
        <w:rPr>
          <w:rFonts w:ascii="Times New Roman" w:hAnsi="Times New Roman" w:cs="Times New Roman"/>
          <w:sz w:val="28"/>
          <w:szCs w:val="28"/>
        </w:rPr>
        <w:t>вневоинская</w:t>
      </w:r>
      <w:proofErr w:type="spellEnd"/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327952">
        <w:rPr>
          <w:rFonts w:ascii="Times New Roman" w:hAnsi="Times New Roman" w:cs="Times New Roman"/>
          <w:sz w:val="28"/>
          <w:szCs w:val="28"/>
        </w:rPr>
        <w:t>227,3</w:t>
      </w:r>
      <w:r w:rsidR="000E546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составила </w:t>
      </w:r>
      <w:r w:rsidR="00AF7F86">
        <w:rPr>
          <w:rFonts w:ascii="Times New Roman" w:hAnsi="Times New Roman" w:cs="Times New Roman"/>
          <w:sz w:val="28"/>
          <w:szCs w:val="28"/>
        </w:rPr>
        <w:t>98,7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предусматривает реализацию </w:t>
      </w:r>
      <w:r w:rsidR="00CF6E6F">
        <w:rPr>
          <w:rFonts w:ascii="Times New Roman" w:hAnsi="Times New Roman" w:cs="Times New Roman"/>
          <w:sz w:val="28"/>
          <w:szCs w:val="28"/>
        </w:rPr>
        <w:t>одного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подраздел</w:t>
      </w:r>
      <w:r w:rsidR="00CF6E6F">
        <w:rPr>
          <w:rFonts w:ascii="Times New Roman" w:hAnsi="Times New Roman" w:cs="Times New Roman"/>
          <w:sz w:val="28"/>
          <w:szCs w:val="28"/>
        </w:rPr>
        <w:t>а</w:t>
      </w:r>
      <w:r w:rsidRPr="00FD53EE">
        <w:rPr>
          <w:rFonts w:ascii="Times New Roman" w:hAnsi="Times New Roman" w:cs="Times New Roman"/>
          <w:sz w:val="28"/>
          <w:szCs w:val="28"/>
        </w:rPr>
        <w:t>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на территории </w:t>
      </w:r>
      <w:proofErr w:type="spellStart"/>
      <w:r w:rsidR="009E6F5E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6C4B63">
        <w:rPr>
          <w:rFonts w:ascii="Times New Roman" w:hAnsi="Times New Roman" w:cs="Times New Roman"/>
          <w:sz w:val="28"/>
          <w:szCs w:val="28"/>
        </w:rPr>
        <w:t xml:space="preserve"> МО  20</w:t>
      </w:r>
      <w:r w:rsidR="00E17916">
        <w:rPr>
          <w:rFonts w:ascii="Times New Roman" w:hAnsi="Times New Roman" w:cs="Times New Roman"/>
          <w:sz w:val="28"/>
          <w:szCs w:val="28"/>
        </w:rPr>
        <w:t>21</w:t>
      </w:r>
      <w:r w:rsidR="006C4B63">
        <w:rPr>
          <w:rFonts w:ascii="Times New Roman" w:hAnsi="Times New Roman" w:cs="Times New Roman"/>
          <w:sz w:val="28"/>
          <w:szCs w:val="28"/>
        </w:rPr>
        <w:t xml:space="preserve">г.»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20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7E0F75">
        <w:rPr>
          <w:rFonts w:ascii="Times New Roman" w:hAnsi="Times New Roman" w:cs="Times New Roman"/>
          <w:sz w:val="28"/>
          <w:szCs w:val="28"/>
        </w:rPr>
        <w:t>2722,0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7E0F75">
        <w:rPr>
          <w:rFonts w:ascii="Times New Roman" w:hAnsi="Times New Roman" w:cs="Times New Roman"/>
          <w:sz w:val="28"/>
          <w:szCs w:val="28"/>
        </w:rPr>
        <w:t>2721,1</w:t>
      </w:r>
      <w:r w:rsidR="006C4B63">
        <w:rPr>
          <w:rFonts w:ascii="Times New Roman" w:hAnsi="Times New Roman" w:cs="Times New Roman"/>
          <w:sz w:val="28"/>
          <w:szCs w:val="28"/>
        </w:rPr>
        <w:t xml:space="preserve"> тыс.руб.  или </w:t>
      </w:r>
      <w:r w:rsidR="00E17916">
        <w:rPr>
          <w:rFonts w:ascii="Times New Roman" w:hAnsi="Times New Roman" w:cs="Times New Roman"/>
          <w:sz w:val="28"/>
          <w:szCs w:val="28"/>
        </w:rPr>
        <w:t>99,</w:t>
      </w:r>
      <w:r w:rsidR="007E0F75">
        <w:rPr>
          <w:rFonts w:ascii="Times New Roman" w:hAnsi="Times New Roman" w:cs="Times New Roman"/>
          <w:sz w:val="28"/>
          <w:szCs w:val="28"/>
        </w:rPr>
        <w:t>9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два подраздела: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E16F28">
        <w:rPr>
          <w:sz w:val="28"/>
          <w:szCs w:val="28"/>
        </w:rPr>
        <w:t>1349,4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E16F28">
        <w:rPr>
          <w:sz w:val="28"/>
          <w:szCs w:val="28"/>
        </w:rPr>
        <w:t>95,7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E16F28">
        <w:rPr>
          <w:sz w:val="28"/>
          <w:szCs w:val="28"/>
        </w:rPr>
        <w:t>1343,9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E16F28">
        <w:rPr>
          <w:sz w:val="28"/>
          <w:szCs w:val="28"/>
        </w:rPr>
        <w:t>95,2</w:t>
      </w:r>
      <w:r w:rsidRPr="00B46460">
        <w:rPr>
          <w:sz w:val="28"/>
          <w:szCs w:val="28"/>
        </w:rPr>
        <w:t xml:space="preserve">% от суммы утвержденных бюджетных назначений. 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10 «Социальная политика»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Раздел «Социальная политика» предусматривается финансирование мероприятий в рамках подраздела 1001 «Пенсионное обеспечение», по </w:t>
      </w:r>
      <w:r w:rsidRPr="00B46460">
        <w:rPr>
          <w:sz w:val="28"/>
          <w:szCs w:val="28"/>
        </w:rPr>
        <w:lastRenderedPageBreak/>
        <w:t xml:space="preserve">данному подразделу исполнение составило </w:t>
      </w:r>
      <w:r w:rsidR="00E16F28">
        <w:rPr>
          <w:sz w:val="28"/>
          <w:szCs w:val="28"/>
        </w:rPr>
        <w:t>153,6</w:t>
      </w:r>
      <w:r w:rsidR="008864C9">
        <w:rPr>
          <w:sz w:val="28"/>
          <w:szCs w:val="28"/>
        </w:rPr>
        <w:t>тыс.</w:t>
      </w:r>
      <w:r w:rsidRPr="00B46460">
        <w:rPr>
          <w:sz w:val="28"/>
          <w:szCs w:val="28"/>
        </w:rPr>
        <w:t xml:space="preserve"> руб</w:t>
      </w:r>
      <w:r w:rsidR="008864C9">
        <w:rPr>
          <w:sz w:val="28"/>
          <w:szCs w:val="28"/>
        </w:rPr>
        <w:t>.</w:t>
      </w:r>
      <w:r w:rsidRPr="00B46460">
        <w:rPr>
          <w:sz w:val="28"/>
          <w:szCs w:val="28"/>
        </w:rPr>
        <w:t xml:space="preserve"> или 100% от ут</w:t>
      </w:r>
      <w:r w:rsidR="00473141">
        <w:rPr>
          <w:sz w:val="28"/>
          <w:szCs w:val="28"/>
        </w:rPr>
        <w:t>вержденных бюджетных назначений.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="00FD31E5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F86D38">
        <w:rPr>
          <w:rFonts w:ascii="Times New Roman" w:hAnsi="Times New Roman" w:cs="Times New Roman"/>
          <w:sz w:val="28"/>
          <w:szCs w:val="28"/>
        </w:rPr>
        <w:t>пять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F86D38">
        <w:rPr>
          <w:rFonts w:ascii="Times New Roman" w:hAnsi="Times New Roman" w:cs="Times New Roman"/>
          <w:sz w:val="28"/>
          <w:szCs w:val="28"/>
        </w:rPr>
        <w:t>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7A4A">
        <w:rPr>
          <w:rFonts w:ascii="Times New Roman" w:hAnsi="Times New Roman" w:cs="Times New Roman"/>
          <w:sz w:val="28"/>
          <w:szCs w:val="28"/>
        </w:rPr>
        <w:t xml:space="preserve">. В 2020г. запланировано  </w:t>
      </w:r>
      <w:r w:rsidR="00F86D38">
        <w:rPr>
          <w:rFonts w:ascii="Times New Roman" w:hAnsi="Times New Roman" w:cs="Times New Roman"/>
          <w:sz w:val="28"/>
          <w:szCs w:val="28"/>
        </w:rPr>
        <w:t>5697,5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F86D38">
        <w:rPr>
          <w:rFonts w:ascii="Times New Roman" w:hAnsi="Times New Roman" w:cs="Times New Roman"/>
          <w:sz w:val="28"/>
          <w:szCs w:val="28"/>
        </w:rPr>
        <w:t>5567,9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F86D38">
        <w:rPr>
          <w:rFonts w:ascii="Times New Roman" w:hAnsi="Times New Roman" w:cs="Times New Roman"/>
          <w:sz w:val="28"/>
          <w:szCs w:val="28"/>
        </w:rPr>
        <w:t>97,7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C0290">
        <w:rPr>
          <w:rFonts w:ascii="Times New Roman" w:hAnsi="Times New Roman" w:cs="Times New Roman"/>
          <w:sz w:val="28"/>
          <w:szCs w:val="28"/>
        </w:rPr>
        <w:t xml:space="preserve">Обеспечение населения доступным жильем и развитие жилищной коммунальной инфраструктуры муниципального образования </w:t>
      </w:r>
      <w:r w:rsidR="00241316">
        <w:rPr>
          <w:rFonts w:ascii="Times New Roman" w:hAnsi="Times New Roman" w:cs="Times New Roman"/>
          <w:sz w:val="28"/>
          <w:szCs w:val="28"/>
        </w:rPr>
        <w:t>на</w:t>
      </w:r>
      <w:r w:rsidR="00BC0290">
        <w:rPr>
          <w:rFonts w:ascii="Times New Roman" w:hAnsi="Times New Roman" w:cs="Times New Roman"/>
          <w:sz w:val="28"/>
          <w:szCs w:val="28"/>
        </w:rPr>
        <w:t xml:space="preserve"> 20</w:t>
      </w:r>
      <w:r w:rsidR="00241316">
        <w:rPr>
          <w:rFonts w:ascii="Times New Roman" w:hAnsi="Times New Roman" w:cs="Times New Roman"/>
          <w:sz w:val="28"/>
          <w:szCs w:val="28"/>
        </w:rPr>
        <w:t>1</w:t>
      </w:r>
      <w:r w:rsidR="00F86D38">
        <w:rPr>
          <w:rFonts w:ascii="Times New Roman" w:hAnsi="Times New Roman" w:cs="Times New Roman"/>
          <w:sz w:val="28"/>
          <w:szCs w:val="28"/>
        </w:rPr>
        <w:t>7</w:t>
      </w:r>
      <w:r w:rsidR="00241316">
        <w:rPr>
          <w:rFonts w:ascii="Times New Roman" w:hAnsi="Times New Roman" w:cs="Times New Roman"/>
          <w:sz w:val="28"/>
          <w:szCs w:val="28"/>
        </w:rPr>
        <w:t>-2020</w:t>
      </w:r>
      <w:r w:rsidR="00BC02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F86D38">
        <w:rPr>
          <w:rFonts w:ascii="Times New Roman" w:hAnsi="Times New Roman" w:cs="Times New Roman"/>
          <w:sz w:val="28"/>
          <w:szCs w:val="28"/>
        </w:rPr>
        <w:t>1410,1</w:t>
      </w:r>
      <w:r w:rsidR="00241316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241316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F86D38">
        <w:rPr>
          <w:rFonts w:ascii="Times New Roman" w:hAnsi="Times New Roman" w:cs="Times New Roman"/>
          <w:sz w:val="28"/>
          <w:szCs w:val="28"/>
        </w:rPr>
        <w:t>1349,4</w:t>
      </w:r>
      <w:r w:rsidR="0024131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413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1316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F86D38">
        <w:rPr>
          <w:rFonts w:ascii="Times New Roman" w:hAnsi="Times New Roman" w:cs="Times New Roman"/>
          <w:sz w:val="28"/>
          <w:szCs w:val="28"/>
        </w:rPr>
        <w:t>95,7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2BAC">
        <w:rPr>
          <w:rFonts w:ascii="Times New Roman" w:hAnsi="Times New Roman" w:cs="Times New Roman"/>
          <w:sz w:val="28"/>
          <w:szCs w:val="28"/>
        </w:rPr>
        <w:t>до 2</w:t>
      </w:r>
      <w:r w:rsidR="00BC0290">
        <w:rPr>
          <w:rFonts w:ascii="Times New Roman" w:hAnsi="Times New Roman" w:cs="Times New Roman"/>
          <w:sz w:val="28"/>
          <w:szCs w:val="28"/>
        </w:rPr>
        <w:t>02</w:t>
      </w:r>
      <w:r w:rsidR="00F86D38">
        <w:rPr>
          <w:rFonts w:ascii="Times New Roman" w:hAnsi="Times New Roman" w:cs="Times New Roman"/>
          <w:sz w:val="28"/>
          <w:szCs w:val="28"/>
        </w:rPr>
        <w:t>1</w:t>
      </w:r>
      <w:r w:rsidR="00BC0290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86D38">
        <w:rPr>
          <w:rFonts w:ascii="Times New Roman" w:hAnsi="Times New Roman" w:cs="Times New Roman"/>
          <w:sz w:val="28"/>
          <w:szCs w:val="28"/>
        </w:rPr>
        <w:t xml:space="preserve">2722,0 </w:t>
      </w:r>
      <w:r w:rsidR="00BC02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0290"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>ублей, исполнение составило</w:t>
      </w:r>
      <w:r w:rsidR="007C2BAC">
        <w:rPr>
          <w:rFonts w:ascii="Times New Roman" w:hAnsi="Times New Roman" w:cs="Times New Roman"/>
          <w:sz w:val="28"/>
          <w:szCs w:val="28"/>
        </w:rPr>
        <w:t xml:space="preserve"> </w:t>
      </w:r>
      <w:r w:rsidR="00F86D38">
        <w:rPr>
          <w:rFonts w:ascii="Times New Roman" w:hAnsi="Times New Roman" w:cs="Times New Roman"/>
          <w:sz w:val="28"/>
          <w:szCs w:val="28"/>
        </w:rPr>
        <w:t>2721,1</w:t>
      </w:r>
      <w:r w:rsidR="007C2BAC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 w:rsidR="007C2BAC">
        <w:rPr>
          <w:rFonts w:ascii="Times New Roman" w:hAnsi="Times New Roman" w:cs="Times New Roman"/>
          <w:sz w:val="28"/>
          <w:szCs w:val="28"/>
        </w:rPr>
        <w:t>99,</w:t>
      </w:r>
      <w:r w:rsidR="00F86D38">
        <w:rPr>
          <w:rFonts w:ascii="Times New Roman" w:hAnsi="Times New Roman" w:cs="Times New Roman"/>
          <w:sz w:val="28"/>
          <w:szCs w:val="28"/>
        </w:rPr>
        <w:t>9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 20</w:t>
      </w:r>
      <w:r w:rsidR="00F86D3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C2BAC">
        <w:rPr>
          <w:rFonts w:ascii="Times New Roman" w:hAnsi="Times New Roman" w:cs="Times New Roman"/>
          <w:sz w:val="28"/>
          <w:szCs w:val="28"/>
        </w:rPr>
        <w:t>-202</w:t>
      </w:r>
      <w:r w:rsidR="00F86D38">
        <w:rPr>
          <w:rFonts w:ascii="Times New Roman" w:hAnsi="Times New Roman" w:cs="Times New Roman"/>
          <w:sz w:val="28"/>
          <w:szCs w:val="28"/>
        </w:rPr>
        <w:t>1</w:t>
      </w:r>
      <w:r w:rsidR="007C2BAC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86D38">
        <w:rPr>
          <w:rFonts w:ascii="Times New Roman" w:hAnsi="Times New Roman" w:cs="Times New Roman"/>
          <w:sz w:val="28"/>
          <w:szCs w:val="28"/>
        </w:rPr>
        <w:t>458,7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>ублей, исполнение составило</w:t>
      </w:r>
      <w:r w:rsidR="007C2BAC">
        <w:rPr>
          <w:rFonts w:ascii="Times New Roman" w:hAnsi="Times New Roman" w:cs="Times New Roman"/>
          <w:sz w:val="28"/>
          <w:szCs w:val="28"/>
        </w:rPr>
        <w:t xml:space="preserve"> </w:t>
      </w:r>
      <w:r w:rsidR="00F86D38">
        <w:rPr>
          <w:rFonts w:ascii="Times New Roman" w:hAnsi="Times New Roman" w:cs="Times New Roman"/>
          <w:sz w:val="28"/>
          <w:szCs w:val="28"/>
        </w:rPr>
        <w:t>390,7</w:t>
      </w:r>
      <w:r w:rsidR="007C2BAC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F86D38">
        <w:rPr>
          <w:rFonts w:ascii="Times New Roman" w:hAnsi="Times New Roman" w:cs="Times New Roman"/>
          <w:sz w:val="28"/>
          <w:szCs w:val="28"/>
        </w:rPr>
        <w:t>85,2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7C2BAC" w:rsidRDefault="007C2BAC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 на 2020-2025г.» в 2020г. запланировано </w:t>
      </w:r>
      <w:r w:rsidR="00F86D38">
        <w:rPr>
          <w:rFonts w:ascii="Times New Roman" w:hAnsi="Times New Roman" w:cs="Times New Roman"/>
          <w:sz w:val="28"/>
          <w:szCs w:val="28"/>
        </w:rPr>
        <w:t>953,1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исполнение составило 100%.</w:t>
      </w:r>
    </w:p>
    <w:p w:rsidR="00BC0290" w:rsidRDefault="00214E05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муниципальной </w:t>
      </w:r>
      <w:r w:rsidR="00BC0290" w:rsidRPr="002F7917">
        <w:rPr>
          <w:rFonts w:ascii="Times New Roman" w:hAnsi="Times New Roman" w:cs="Times New Roman"/>
          <w:sz w:val="28"/>
          <w:szCs w:val="28"/>
        </w:rPr>
        <w:t>программы «</w:t>
      </w:r>
      <w:r w:rsidR="00FE7A4A">
        <w:rPr>
          <w:rFonts w:ascii="Times New Roman" w:hAnsi="Times New Roman" w:cs="Times New Roman"/>
          <w:sz w:val="28"/>
          <w:szCs w:val="28"/>
        </w:rPr>
        <w:t xml:space="preserve">Социальная поддержка и социальное обслуживание граждан муниципального образования </w:t>
      </w:r>
      <w:r w:rsidR="00023787">
        <w:rPr>
          <w:rFonts w:ascii="Times New Roman" w:hAnsi="Times New Roman" w:cs="Times New Roman"/>
          <w:sz w:val="28"/>
          <w:szCs w:val="28"/>
        </w:rPr>
        <w:t>2017-</w:t>
      </w:r>
      <w:r w:rsidR="00FE7A4A">
        <w:rPr>
          <w:rFonts w:ascii="Times New Roman" w:hAnsi="Times New Roman" w:cs="Times New Roman"/>
          <w:sz w:val="28"/>
          <w:szCs w:val="28"/>
        </w:rPr>
        <w:t>2020г.</w:t>
      </w:r>
      <w:r w:rsidR="00BC0290"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20</w:t>
      </w:r>
      <w:r w:rsidR="00BC0290"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="00BC0290" w:rsidRPr="002F7917">
        <w:rPr>
          <w:rFonts w:ascii="Times New Roman" w:hAnsi="Times New Roman" w:cs="Times New Roman"/>
          <w:sz w:val="28"/>
          <w:szCs w:val="28"/>
        </w:rPr>
        <w:t>запланировано</w:t>
      </w:r>
      <w:r w:rsidR="00F86D38">
        <w:rPr>
          <w:rFonts w:ascii="Times New Roman" w:hAnsi="Times New Roman" w:cs="Times New Roman"/>
          <w:sz w:val="28"/>
          <w:szCs w:val="28"/>
        </w:rPr>
        <w:t xml:space="preserve"> 153,6 </w:t>
      </w:r>
      <w:r w:rsidR="00FE7A4A">
        <w:rPr>
          <w:rFonts w:ascii="Times New Roman" w:hAnsi="Times New Roman" w:cs="Times New Roman"/>
          <w:sz w:val="28"/>
          <w:szCs w:val="28"/>
        </w:rPr>
        <w:t>тыс.</w:t>
      </w:r>
      <w:r w:rsidR="00BC0290"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FE7A4A">
        <w:rPr>
          <w:rFonts w:ascii="Times New Roman" w:hAnsi="Times New Roman" w:cs="Times New Roman"/>
          <w:sz w:val="28"/>
          <w:szCs w:val="28"/>
        </w:rPr>
        <w:t>100,0</w:t>
      </w:r>
      <w:r w:rsidR="00BC0290"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осуществляться за счет</w:t>
      </w:r>
      <w:r w:rsidR="005F5A68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="00F86D38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5F5A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</w:t>
      </w:r>
      <w:r w:rsidRPr="002F791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муниципальных 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F86D38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F86D38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EC4C8A">
        <w:rPr>
          <w:rFonts w:ascii="Times New Roman" w:hAnsi="Times New Roman" w:cs="Times New Roman"/>
          <w:sz w:val="28"/>
          <w:szCs w:val="28"/>
        </w:rPr>
        <w:t>1</w:t>
      </w:r>
      <w:r w:rsidR="00F86D38">
        <w:rPr>
          <w:rFonts w:ascii="Times New Roman" w:hAnsi="Times New Roman" w:cs="Times New Roman"/>
          <w:sz w:val="28"/>
          <w:szCs w:val="28"/>
        </w:rPr>
        <w:t>8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C4C8A">
        <w:rPr>
          <w:rFonts w:ascii="Times New Roman" w:hAnsi="Times New Roman" w:cs="Times New Roman"/>
          <w:sz w:val="28"/>
          <w:szCs w:val="28"/>
        </w:rPr>
        <w:t>9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86D38">
        <w:rPr>
          <w:rFonts w:ascii="Times New Roman" w:hAnsi="Times New Roman" w:cs="Times New Roman"/>
          <w:sz w:val="28"/>
          <w:szCs w:val="28"/>
        </w:rPr>
        <w:t>53</w:t>
      </w:r>
      <w:r w:rsidR="001F2E73">
        <w:rPr>
          <w:rFonts w:ascii="Times New Roman" w:hAnsi="Times New Roman" w:cs="Times New Roman"/>
          <w:sz w:val="28"/>
          <w:szCs w:val="28"/>
        </w:rPr>
        <w:t>-</w:t>
      </w:r>
      <w:r w:rsidR="00F86D38">
        <w:rPr>
          <w:rFonts w:ascii="Times New Roman" w:hAnsi="Times New Roman" w:cs="Times New Roman"/>
          <w:sz w:val="28"/>
          <w:szCs w:val="28"/>
        </w:rPr>
        <w:t>192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F86D38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20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4C8A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2020г.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F86D3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-405,3</w:t>
            </w:r>
          </w:p>
        </w:tc>
        <w:tc>
          <w:tcPr>
            <w:tcW w:w="1808" w:type="dxa"/>
          </w:tcPr>
          <w:p w:rsidR="00D6136E" w:rsidRDefault="00F86D3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F86D3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7373,0</w:t>
            </w:r>
          </w:p>
        </w:tc>
        <w:tc>
          <w:tcPr>
            <w:tcW w:w="1843" w:type="dxa"/>
          </w:tcPr>
          <w:p w:rsidR="00D6136E" w:rsidRDefault="00F86D3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-9369,4</w:t>
            </w:r>
          </w:p>
        </w:tc>
        <w:tc>
          <w:tcPr>
            <w:tcW w:w="1808" w:type="dxa"/>
          </w:tcPr>
          <w:p w:rsidR="00D6136E" w:rsidRDefault="00F86D3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9605,4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F86D3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7373,0</w:t>
            </w:r>
          </w:p>
        </w:tc>
        <w:tc>
          <w:tcPr>
            <w:tcW w:w="1843" w:type="dxa"/>
          </w:tcPr>
          <w:p w:rsidR="00D6136E" w:rsidRDefault="00F86D3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9774,7</w:t>
            </w:r>
          </w:p>
        </w:tc>
        <w:tc>
          <w:tcPr>
            <w:tcW w:w="1808" w:type="dxa"/>
          </w:tcPr>
          <w:p w:rsidR="00D6136E" w:rsidRDefault="00F86D38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9513,3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86D38">
        <w:rPr>
          <w:rFonts w:ascii="Times New Roman" w:hAnsi="Times New Roman" w:cs="Times New Roman"/>
          <w:color w:val="000000"/>
          <w:sz w:val="28"/>
          <w:szCs w:val="28"/>
        </w:rPr>
        <w:t>9605,4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F86D38">
        <w:rPr>
          <w:rFonts w:ascii="Times New Roman" w:hAnsi="Times New Roman" w:cs="Times New Roman"/>
          <w:color w:val="000000"/>
          <w:sz w:val="28"/>
          <w:szCs w:val="28"/>
        </w:rPr>
        <w:t>9369,4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1A4">
        <w:rPr>
          <w:rFonts w:ascii="Times New Roman" w:hAnsi="Times New Roman" w:cs="Times New Roman"/>
          <w:color w:val="000000"/>
          <w:sz w:val="28"/>
          <w:szCs w:val="28"/>
        </w:rPr>
        <w:t>9513,3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C241A4">
        <w:rPr>
          <w:rFonts w:ascii="Times New Roman" w:hAnsi="Times New Roman" w:cs="Times New Roman"/>
          <w:color w:val="000000"/>
          <w:sz w:val="28"/>
          <w:szCs w:val="28"/>
        </w:rPr>
        <w:t>9774,7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Разница данных показателей дает </w:t>
      </w:r>
      <w:r w:rsidR="00C241A4">
        <w:rPr>
          <w:rFonts w:ascii="Times New Roman" w:hAnsi="Times New Roman" w:cs="Times New Roman"/>
          <w:color w:val="000000"/>
          <w:sz w:val="28"/>
          <w:szCs w:val="28"/>
        </w:rPr>
        <w:t>положительную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получаем </w:t>
      </w:r>
      <w:proofErr w:type="spellStart"/>
      <w:r w:rsidR="00C241A4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C241A4">
        <w:rPr>
          <w:rFonts w:ascii="Times New Roman" w:hAnsi="Times New Roman" w:cs="Times New Roman"/>
          <w:color w:val="000000"/>
          <w:sz w:val="28"/>
          <w:szCs w:val="28"/>
        </w:rPr>
        <w:t>92,1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BA796F" w:rsidRPr="00384ADE" w:rsidRDefault="00BA796F" w:rsidP="00BA796F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C6">
        <w:rPr>
          <w:rFonts w:ascii="Times New Roman" w:hAnsi="Times New Roman" w:cs="Times New Roman"/>
          <w:sz w:val="28"/>
          <w:szCs w:val="28"/>
        </w:rPr>
        <w:t>Внесенные изменения в бюджет муниципального образования принимались без проведения экспертизы Контрольно-счетной комиссии, также</w:t>
      </w:r>
      <w:r w:rsidRPr="00C966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966C6">
        <w:rPr>
          <w:rFonts w:ascii="Times New Roman" w:hAnsi="Times New Roman" w:cs="Times New Roman"/>
          <w:color w:val="000000"/>
          <w:sz w:val="28"/>
          <w:szCs w:val="28"/>
        </w:rPr>
        <w:t>не предоставлялись на</w:t>
      </w:r>
      <w:r w:rsidRPr="00C966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966C6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финансово-экономическую экспертизу проекты муниципальных программ, нормативно правовых актов в части, касающейся расходных обязательств МО.</w:t>
      </w:r>
      <w:r w:rsidRPr="00C96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отчетность, представленная в Контрольно-счетную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соответ</w:t>
      </w:r>
      <w:r w:rsidR="009B09A8">
        <w:rPr>
          <w:rFonts w:ascii="Times New Roman" w:hAnsi="Times New Roman" w:cs="Times New Roman"/>
          <w:color w:val="000000"/>
          <w:sz w:val="28"/>
          <w:szCs w:val="28"/>
        </w:rPr>
        <w:t xml:space="preserve">ствуют данным бюджетной росписи </w:t>
      </w:r>
      <w:proofErr w:type="spellStart"/>
      <w:r w:rsidR="00203BE4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="00203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 за 2020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внешняя проверка подтвердила, что расходование 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средств в 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ГРБС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резервного фонда в отчетном периоде не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осуществлялось.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proofErr w:type="spellStart"/>
      <w:r w:rsidR="00203BE4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№191н. Соотношения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показателями форм годовой бюджетной отчетности соблюдены. В целом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годовой бюджетной отчетности </w:t>
      </w:r>
      <w:proofErr w:type="spellStart"/>
      <w:r w:rsidR="00203BE4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быть признаны достоверными.</w:t>
      </w:r>
    </w:p>
    <w:p w:rsidR="002F7917" w:rsidRPr="002F7917" w:rsidRDefault="00E15946" w:rsidP="00E15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1-04-2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4-21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0584D"/>
    <w:rsid w:val="00023787"/>
    <w:rsid w:val="00024FDE"/>
    <w:rsid w:val="00076F29"/>
    <w:rsid w:val="000945D4"/>
    <w:rsid w:val="000953A6"/>
    <w:rsid w:val="00095EC5"/>
    <w:rsid w:val="000B51E3"/>
    <w:rsid w:val="000E09A1"/>
    <w:rsid w:val="000E5469"/>
    <w:rsid w:val="000F1986"/>
    <w:rsid w:val="001034DD"/>
    <w:rsid w:val="001132E1"/>
    <w:rsid w:val="00126772"/>
    <w:rsid w:val="00126923"/>
    <w:rsid w:val="00144DED"/>
    <w:rsid w:val="00147E51"/>
    <w:rsid w:val="0015695C"/>
    <w:rsid w:val="00165019"/>
    <w:rsid w:val="00170996"/>
    <w:rsid w:val="001A7984"/>
    <w:rsid w:val="001C117D"/>
    <w:rsid w:val="001C494D"/>
    <w:rsid w:val="001D7E82"/>
    <w:rsid w:val="001F2E73"/>
    <w:rsid w:val="00203BE4"/>
    <w:rsid w:val="00213CDA"/>
    <w:rsid w:val="00214E05"/>
    <w:rsid w:val="00215A0C"/>
    <w:rsid w:val="00241316"/>
    <w:rsid w:val="00241C50"/>
    <w:rsid w:val="00261221"/>
    <w:rsid w:val="0026131C"/>
    <w:rsid w:val="00270A9D"/>
    <w:rsid w:val="00286548"/>
    <w:rsid w:val="002961D8"/>
    <w:rsid w:val="002C6B75"/>
    <w:rsid w:val="002D528D"/>
    <w:rsid w:val="002F0018"/>
    <w:rsid w:val="002F7917"/>
    <w:rsid w:val="00306A0C"/>
    <w:rsid w:val="00320070"/>
    <w:rsid w:val="003221D9"/>
    <w:rsid w:val="00327952"/>
    <w:rsid w:val="003311DB"/>
    <w:rsid w:val="00341B40"/>
    <w:rsid w:val="00387C04"/>
    <w:rsid w:val="003A1890"/>
    <w:rsid w:val="003F3859"/>
    <w:rsid w:val="00407FD3"/>
    <w:rsid w:val="00433401"/>
    <w:rsid w:val="00446F1A"/>
    <w:rsid w:val="00463B29"/>
    <w:rsid w:val="00473141"/>
    <w:rsid w:val="00487529"/>
    <w:rsid w:val="004B3043"/>
    <w:rsid w:val="004C08C6"/>
    <w:rsid w:val="004C2077"/>
    <w:rsid w:val="004C54EE"/>
    <w:rsid w:val="005323D9"/>
    <w:rsid w:val="00567B39"/>
    <w:rsid w:val="005775C1"/>
    <w:rsid w:val="00584035"/>
    <w:rsid w:val="00594105"/>
    <w:rsid w:val="005B4C70"/>
    <w:rsid w:val="005B7329"/>
    <w:rsid w:val="005B7F81"/>
    <w:rsid w:val="005E7666"/>
    <w:rsid w:val="005F5A68"/>
    <w:rsid w:val="006108C8"/>
    <w:rsid w:val="0061739C"/>
    <w:rsid w:val="00644861"/>
    <w:rsid w:val="00644A18"/>
    <w:rsid w:val="006532EA"/>
    <w:rsid w:val="0065610C"/>
    <w:rsid w:val="00683D34"/>
    <w:rsid w:val="00694C78"/>
    <w:rsid w:val="006A2FF2"/>
    <w:rsid w:val="006C4B63"/>
    <w:rsid w:val="006E3E62"/>
    <w:rsid w:val="006E5917"/>
    <w:rsid w:val="0070238D"/>
    <w:rsid w:val="007029CD"/>
    <w:rsid w:val="00730AB7"/>
    <w:rsid w:val="00743512"/>
    <w:rsid w:val="00743B08"/>
    <w:rsid w:val="0076131B"/>
    <w:rsid w:val="007A3F91"/>
    <w:rsid w:val="007A6527"/>
    <w:rsid w:val="007B4CCA"/>
    <w:rsid w:val="007B6F4A"/>
    <w:rsid w:val="007C2BAC"/>
    <w:rsid w:val="007C4DCF"/>
    <w:rsid w:val="007E0F75"/>
    <w:rsid w:val="007E22A7"/>
    <w:rsid w:val="00802F7D"/>
    <w:rsid w:val="00833F69"/>
    <w:rsid w:val="0085405E"/>
    <w:rsid w:val="00867AD5"/>
    <w:rsid w:val="00872CE4"/>
    <w:rsid w:val="008864C9"/>
    <w:rsid w:val="0089444F"/>
    <w:rsid w:val="008B2E2C"/>
    <w:rsid w:val="008B470D"/>
    <w:rsid w:val="008E6C24"/>
    <w:rsid w:val="008F2A64"/>
    <w:rsid w:val="009001B2"/>
    <w:rsid w:val="009162B8"/>
    <w:rsid w:val="009247B2"/>
    <w:rsid w:val="00931B03"/>
    <w:rsid w:val="0095141C"/>
    <w:rsid w:val="00960380"/>
    <w:rsid w:val="009B09A8"/>
    <w:rsid w:val="009B0D2C"/>
    <w:rsid w:val="009C4B1E"/>
    <w:rsid w:val="009C538B"/>
    <w:rsid w:val="009E6F5E"/>
    <w:rsid w:val="009F102F"/>
    <w:rsid w:val="009F49BE"/>
    <w:rsid w:val="00A00C38"/>
    <w:rsid w:val="00A06BC7"/>
    <w:rsid w:val="00A518F9"/>
    <w:rsid w:val="00A575F9"/>
    <w:rsid w:val="00A66627"/>
    <w:rsid w:val="00AB19A4"/>
    <w:rsid w:val="00AC1EFA"/>
    <w:rsid w:val="00AD3D96"/>
    <w:rsid w:val="00AD5F5D"/>
    <w:rsid w:val="00AE2F5B"/>
    <w:rsid w:val="00AF39F5"/>
    <w:rsid w:val="00AF7F86"/>
    <w:rsid w:val="00B044B5"/>
    <w:rsid w:val="00B16B69"/>
    <w:rsid w:val="00B228B2"/>
    <w:rsid w:val="00B22B23"/>
    <w:rsid w:val="00B25FD5"/>
    <w:rsid w:val="00B41E57"/>
    <w:rsid w:val="00B4348F"/>
    <w:rsid w:val="00B46460"/>
    <w:rsid w:val="00B466AE"/>
    <w:rsid w:val="00B951E2"/>
    <w:rsid w:val="00BA796F"/>
    <w:rsid w:val="00BB1362"/>
    <w:rsid w:val="00BB48B7"/>
    <w:rsid w:val="00BC0290"/>
    <w:rsid w:val="00BC5F28"/>
    <w:rsid w:val="00C02579"/>
    <w:rsid w:val="00C04467"/>
    <w:rsid w:val="00C06054"/>
    <w:rsid w:val="00C16AED"/>
    <w:rsid w:val="00C2378B"/>
    <w:rsid w:val="00C241A4"/>
    <w:rsid w:val="00C52C1B"/>
    <w:rsid w:val="00C54275"/>
    <w:rsid w:val="00C64764"/>
    <w:rsid w:val="00C80913"/>
    <w:rsid w:val="00CA192A"/>
    <w:rsid w:val="00CA3D09"/>
    <w:rsid w:val="00CA5AB2"/>
    <w:rsid w:val="00CB7D9D"/>
    <w:rsid w:val="00CD0126"/>
    <w:rsid w:val="00CD30EC"/>
    <w:rsid w:val="00CD691A"/>
    <w:rsid w:val="00CD69C2"/>
    <w:rsid w:val="00CF46C6"/>
    <w:rsid w:val="00CF6E6F"/>
    <w:rsid w:val="00D009E6"/>
    <w:rsid w:val="00D32B3B"/>
    <w:rsid w:val="00D40A60"/>
    <w:rsid w:val="00D42836"/>
    <w:rsid w:val="00D6136E"/>
    <w:rsid w:val="00D67AC2"/>
    <w:rsid w:val="00DB1E65"/>
    <w:rsid w:val="00DC6941"/>
    <w:rsid w:val="00DE3A69"/>
    <w:rsid w:val="00DE6DA3"/>
    <w:rsid w:val="00E02D40"/>
    <w:rsid w:val="00E0377F"/>
    <w:rsid w:val="00E11486"/>
    <w:rsid w:val="00E14060"/>
    <w:rsid w:val="00E15946"/>
    <w:rsid w:val="00E16128"/>
    <w:rsid w:val="00E16F28"/>
    <w:rsid w:val="00E17916"/>
    <w:rsid w:val="00E23417"/>
    <w:rsid w:val="00E525E4"/>
    <w:rsid w:val="00E654A8"/>
    <w:rsid w:val="00E73793"/>
    <w:rsid w:val="00E93F0F"/>
    <w:rsid w:val="00EA7588"/>
    <w:rsid w:val="00EC4C8A"/>
    <w:rsid w:val="00ED164F"/>
    <w:rsid w:val="00ED31E0"/>
    <w:rsid w:val="00EE0E79"/>
    <w:rsid w:val="00EE354E"/>
    <w:rsid w:val="00F1362C"/>
    <w:rsid w:val="00F20D32"/>
    <w:rsid w:val="00F239A2"/>
    <w:rsid w:val="00F35D38"/>
    <w:rsid w:val="00F622F8"/>
    <w:rsid w:val="00F825AB"/>
    <w:rsid w:val="00F86D38"/>
    <w:rsid w:val="00F87F9E"/>
    <w:rsid w:val="00F9066C"/>
    <w:rsid w:val="00F93F13"/>
    <w:rsid w:val="00F9558D"/>
    <w:rsid w:val="00FA291A"/>
    <w:rsid w:val="00FC36CB"/>
    <w:rsid w:val="00FD31E5"/>
    <w:rsid w:val="00FD53EE"/>
    <w:rsid w:val="00FE1C2A"/>
    <w:rsid w:val="00FE4F05"/>
    <w:rsid w:val="00FE6CE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08EB-929D-4118-976B-464BF635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2021-04-21T06:18:00Z</dcterms:created>
  <dcterms:modified xsi:type="dcterms:W3CDTF">2021-04-21T06:18:00Z</dcterms:modified>
</cp:coreProperties>
</file>