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06" w:rsidRPr="001E4154" w:rsidRDefault="00B13606" w:rsidP="001E4154">
      <w:pPr>
        <w:tabs>
          <w:tab w:val="left" w:pos="720"/>
        </w:tabs>
        <w:spacing w:after="0"/>
        <w:jc w:val="right"/>
        <w:rPr>
          <w:rFonts w:ascii="Times New Roman" w:eastAsia="Calibri" w:hAnsi="Times New Roman" w:cs="Times New Roman"/>
          <w:caps/>
          <w:sz w:val="24"/>
          <w:szCs w:val="24"/>
        </w:rPr>
      </w:pPr>
      <w:r w:rsidRPr="001E4154">
        <w:rPr>
          <w:rFonts w:ascii="Times New Roman" w:eastAsia="Calibri" w:hAnsi="Times New Roman" w:cs="Times New Roman"/>
          <w:caps/>
          <w:sz w:val="24"/>
          <w:szCs w:val="24"/>
        </w:rPr>
        <w:t>Утверждён</w:t>
      </w:r>
    </w:p>
    <w:p w:rsidR="00B13606" w:rsidRPr="001E4154" w:rsidRDefault="00B13606" w:rsidP="001E4154">
      <w:pPr>
        <w:tabs>
          <w:tab w:val="left" w:pos="720"/>
        </w:tabs>
        <w:spacing w:after="0"/>
        <w:jc w:val="right"/>
        <w:rPr>
          <w:rFonts w:ascii="Times New Roman" w:eastAsia="Calibri" w:hAnsi="Times New Roman" w:cs="Times New Roman"/>
          <w:sz w:val="24"/>
          <w:szCs w:val="24"/>
        </w:rPr>
      </w:pPr>
      <w:r w:rsidRPr="001E4154">
        <w:rPr>
          <w:rFonts w:ascii="Times New Roman" w:eastAsia="Calibri" w:hAnsi="Times New Roman" w:cs="Times New Roman"/>
          <w:sz w:val="24"/>
          <w:szCs w:val="24"/>
        </w:rPr>
        <w:t xml:space="preserve">Распоряжением Контрольно-счетной комиссии </w:t>
      </w:r>
    </w:p>
    <w:p w:rsidR="00B13606" w:rsidRPr="001E4154" w:rsidRDefault="00B13606" w:rsidP="001E4154">
      <w:pPr>
        <w:tabs>
          <w:tab w:val="left" w:pos="720"/>
        </w:tabs>
        <w:spacing w:after="0"/>
        <w:jc w:val="right"/>
        <w:rPr>
          <w:rFonts w:ascii="Times New Roman" w:eastAsia="Calibri" w:hAnsi="Times New Roman" w:cs="Times New Roman"/>
          <w:sz w:val="24"/>
          <w:szCs w:val="24"/>
        </w:rPr>
      </w:pPr>
      <w:proofErr w:type="spellStart"/>
      <w:r w:rsidRPr="001E4154">
        <w:rPr>
          <w:rFonts w:ascii="Times New Roman" w:eastAsia="Calibri" w:hAnsi="Times New Roman" w:cs="Times New Roman"/>
          <w:sz w:val="24"/>
          <w:szCs w:val="24"/>
        </w:rPr>
        <w:t>Ершовского</w:t>
      </w:r>
      <w:proofErr w:type="spellEnd"/>
      <w:r w:rsidRPr="001E4154">
        <w:rPr>
          <w:rFonts w:ascii="Times New Roman" w:eastAsia="Calibri" w:hAnsi="Times New Roman" w:cs="Times New Roman"/>
          <w:sz w:val="24"/>
          <w:szCs w:val="24"/>
        </w:rPr>
        <w:t xml:space="preserve"> муниципального района </w:t>
      </w:r>
    </w:p>
    <w:p w:rsidR="00B13606" w:rsidRPr="001E4154" w:rsidRDefault="00B13606" w:rsidP="001E4154">
      <w:pPr>
        <w:tabs>
          <w:tab w:val="left" w:pos="720"/>
        </w:tabs>
        <w:spacing w:after="0"/>
        <w:jc w:val="right"/>
        <w:rPr>
          <w:rFonts w:ascii="Times New Roman" w:eastAsia="Calibri" w:hAnsi="Times New Roman" w:cs="Times New Roman"/>
          <w:sz w:val="24"/>
          <w:szCs w:val="24"/>
        </w:rPr>
      </w:pPr>
      <w:r w:rsidRPr="001E4154">
        <w:rPr>
          <w:rFonts w:ascii="Times New Roman" w:eastAsia="Calibri" w:hAnsi="Times New Roman" w:cs="Times New Roman"/>
          <w:sz w:val="24"/>
          <w:szCs w:val="24"/>
        </w:rPr>
        <w:t>Саратовской области</w:t>
      </w:r>
    </w:p>
    <w:p w:rsidR="00B13606" w:rsidRPr="001E4154" w:rsidRDefault="00B13606" w:rsidP="001E4154">
      <w:pPr>
        <w:tabs>
          <w:tab w:val="left" w:pos="720"/>
        </w:tabs>
        <w:spacing w:after="0"/>
        <w:jc w:val="right"/>
        <w:rPr>
          <w:rFonts w:ascii="Times New Roman" w:eastAsia="Calibri" w:hAnsi="Times New Roman" w:cs="Times New Roman"/>
          <w:sz w:val="24"/>
          <w:szCs w:val="24"/>
        </w:rPr>
      </w:pPr>
      <w:r w:rsidRPr="001E4154">
        <w:rPr>
          <w:rFonts w:ascii="Times New Roman" w:eastAsia="Calibri" w:hAnsi="Times New Roman" w:cs="Times New Roman"/>
          <w:sz w:val="24"/>
          <w:szCs w:val="24"/>
        </w:rPr>
        <w:t>от _28.07.2015 г. № 45</w:t>
      </w:r>
    </w:p>
    <w:p w:rsidR="00B13606" w:rsidRDefault="00B13606" w:rsidP="00B13606">
      <w:pPr>
        <w:jc w:val="right"/>
        <w:rPr>
          <w:rFonts w:ascii="Calibri" w:eastAsia="Calibri" w:hAnsi="Calibri" w:cs="Times New Roman"/>
          <w:szCs w:val="28"/>
        </w:rPr>
      </w:pPr>
    </w:p>
    <w:p w:rsidR="00B13606" w:rsidRDefault="00B13606" w:rsidP="00B13606">
      <w:pPr>
        <w:jc w:val="center"/>
        <w:rPr>
          <w:rFonts w:ascii="Calibri" w:eastAsia="Calibri" w:hAnsi="Calibri" w:cs="Times New Roman"/>
          <w:b/>
          <w:sz w:val="32"/>
          <w:szCs w:val="32"/>
        </w:rPr>
      </w:pPr>
    </w:p>
    <w:p w:rsidR="00B13606" w:rsidRDefault="00B13606" w:rsidP="00B13606">
      <w:pPr>
        <w:jc w:val="center"/>
        <w:rPr>
          <w:rFonts w:ascii="Calibri" w:eastAsia="Calibri" w:hAnsi="Calibri" w:cs="Times New Roman"/>
          <w:b/>
          <w:sz w:val="32"/>
          <w:szCs w:val="32"/>
        </w:rPr>
      </w:pPr>
    </w:p>
    <w:p w:rsidR="00B13606" w:rsidRPr="002B0C46" w:rsidRDefault="00B13606" w:rsidP="001E4154">
      <w:pPr>
        <w:pStyle w:val="3"/>
        <w:jc w:val="center"/>
        <w:rPr>
          <w:b w:val="0"/>
          <w:spacing w:val="-6"/>
          <w:sz w:val="28"/>
          <w:szCs w:val="28"/>
        </w:rPr>
      </w:pPr>
      <w:r w:rsidRPr="002B0C46">
        <w:rPr>
          <w:b w:val="0"/>
          <w:sz w:val="28"/>
          <w:szCs w:val="28"/>
        </w:rPr>
        <w:t xml:space="preserve">СТАНДАРТ </w:t>
      </w:r>
      <w:r w:rsidR="001E4154">
        <w:rPr>
          <w:b w:val="0"/>
          <w:sz w:val="28"/>
          <w:szCs w:val="28"/>
        </w:rPr>
        <w:t>ВНЕШНЕГО МУНИЦИПАЛЬНОГО</w:t>
      </w:r>
      <w:r w:rsidRPr="002B0C46">
        <w:rPr>
          <w:b w:val="0"/>
          <w:sz w:val="28"/>
          <w:szCs w:val="28"/>
        </w:rPr>
        <w:t xml:space="preserve"> КОНТРОЛЯ </w:t>
      </w:r>
      <w:r w:rsidRPr="002B0C46">
        <w:rPr>
          <w:b w:val="0"/>
          <w:spacing w:val="-6"/>
          <w:sz w:val="28"/>
          <w:szCs w:val="28"/>
        </w:rPr>
        <w:t xml:space="preserve"> </w:t>
      </w:r>
    </w:p>
    <w:p w:rsidR="00B13606" w:rsidRPr="002B0C46" w:rsidRDefault="00B13606" w:rsidP="00B13606">
      <w:pPr>
        <w:pStyle w:val="3"/>
        <w:spacing w:before="0" w:after="0"/>
        <w:jc w:val="center"/>
        <w:rPr>
          <w:b w:val="0"/>
          <w:spacing w:val="-6"/>
          <w:sz w:val="28"/>
          <w:szCs w:val="28"/>
        </w:rPr>
      </w:pPr>
      <w:r>
        <w:rPr>
          <w:b w:val="0"/>
          <w:spacing w:val="-6"/>
          <w:sz w:val="28"/>
          <w:szCs w:val="28"/>
        </w:rPr>
        <w:t>КОНТРОЛЬНО-СЧЕТНОЙ КОМИССИИ ЕРШОВСКОГО  МУНИЦИПАЛЬНОГО РАЙОНА</w:t>
      </w:r>
      <w:r w:rsidRPr="002B0C46">
        <w:rPr>
          <w:b w:val="0"/>
          <w:spacing w:val="-6"/>
          <w:sz w:val="28"/>
          <w:szCs w:val="28"/>
        </w:rPr>
        <w:t xml:space="preserve"> САРАТОВСКОЙ ОБЛАСТИ</w:t>
      </w:r>
    </w:p>
    <w:p w:rsidR="00B13606" w:rsidRPr="002B0C46" w:rsidRDefault="00B13606" w:rsidP="00B13606">
      <w:pPr>
        <w:jc w:val="center"/>
        <w:rPr>
          <w:rFonts w:ascii="Calibri" w:eastAsia="Calibri" w:hAnsi="Calibri" w:cs="Times New Roman"/>
          <w:sz w:val="28"/>
          <w:szCs w:val="28"/>
        </w:rPr>
      </w:pPr>
    </w:p>
    <w:p w:rsidR="00B13606" w:rsidRPr="001E4154" w:rsidRDefault="00B13606" w:rsidP="00CC05C7">
      <w:pPr>
        <w:pStyle w:val="3"/>
        <w:jc w:val="center"/>
        <w:rPr>
          <w:color w:val="000000"/>
        </w:rPr>
      </w:pPr>
      <w:r w:rsidRPr="001E4154">
        <w:rPr>
          <w:color w:val="000000"/>
          <w:spacing w:val="-6"/>
          <w:sz w:val="28"/>
          <w:szCs w:val="28"/>
        </w:rPr>
        <w:t>«</w:t>
      </w:r>
      <w:r w:rsidR="001E4154" w:rsidRPr="001E4154">
        <w:rPr>
          <w:bCs w:val="0"/>
          <w:color w:val="000000" w:themeColor="text1"/>
          <w:sz w:val="28"/>
          <w:szCs w:val="28"/>
          <w:bdr w:val="none" w:sz="0" w:space="0" w:color="auto" w:frame="1"/>
        </w:rPr>
        <w:t>АУДИТ В СФЕРЕ ЗАКУПОК ТОВАРОВ, РАБОТ, УСЛУГ ДЛЯ МУНИЦИПАЛЬНЫХ НУЖД</w:t>
      </w:r>
      <w:r w:rsidRPr="001E4154">
        <w:rPr>
          <w:color w:val="000000"/>
          <w:spacing w:val="-6"/>
          <w:sz w:val="28"/>
          <w:szCs w:val="28"/>
        </w:rPr>
        <w:t>» (СФК-</w:t>
      </w:r>
      <w:r w:rsidR="001E4154" w:rsidRPr="001E4154">
        <w:rPr>
          <w:color w:val="000000" w:themeColor="text1"/>
          <w:spacing w:val="-6"/>
          <w:sz w:val="28"/>
          <w:szCs w:val="28"/>
        </w:rPr>
        <w:t>6</w:t>
      </w:r>
      <w:r w:rsidRPr="001E4154">
        <w:rPr>
          <w:color w:val="000000"/>
          <w:spacing w:val="-6"/>
          <w:sz w:val="28"/>
          <w:szCs w:val="28"/>
        </w:rPr>
        <w:t>)</w:t>
      </w:r>
    </w:p>
    <w:p w:rsidR="00B13606" w:rsidRPr="00972478" w:rsidRDefault="00B13606" w:rsidP="00B13606">
      <w:pPr>
        <w:jc w:val="center"/>
        <w:rPr>
          <w:rFonts w:ascii="Calibri" w:eastAsia="Calibri" w:hAnsi="Calibri" w:cs="Times New Roman"/>
          <w:sz w:val="28"/>
          <w:szCs w:val="28"/>
        </w:rPr>
      </w:pPr>
    </w:p>
    <w:p w:rsidR="00B13606" w:rsidRPr="00972478"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855B11" w:rsidRDefault="00B13606" w:rsidP="00B13606">
      <w:pPr>
        <w:jc w:val="center"/>
        <w:rPr>
          <w:rFonts w:ascii="Calibri" w:eastAsia="Calibri" w:hAnsi="Calibri" w:cs="Times New Roman"/>
          <w:sz w:val="28"/>
          <w:szCs w:val="28"/>
        </w:rPr>
      </w:pPr>
    </w:p>
    <w:p w:rsidR="00B13606" w:rsidRPr="001E4154" w:rsidRDefault="00B13606" w:rsidP="00B13606">
      <w:pPr>
        <w:jc w:val="center"/>
        <w:rPr>
          <w:rFonts w:ascii="Times New Roman" w:eastAsia="Calibri" w:hAnsi="Times New Roman" w:cs="Times New Roman"/>
          <w:sz w:val="28"/>
          <w:szCs w:val="28"/>
        </w:rPr>
      </w:pPr>
      <w:r w:rsidRPr="001E4154">
        <w:rPr>
          <w:rFonts w:ascii="Times New Roman" w:eastAsia="Calibri" w:hAnsi="Times New Roman" w:cs="Times New Roman"/>
          <w:sz w:val="28"/>
          <w:szCs w:val="28"/>
        </w:rPr>
        <w:t>г</w:t>
      </w:r>
      <w:proofErr w:type="gramStart"/>
      <w:r w:rsidRPr="001E4154">
        <w:rPr>
          <w:rFonts w:ascii="Times New Roman" w:eastAsia="Calibri" w:hAnsi="Times New Roman" w:cs="Times New Roman"/>
          <w:sz w:val="28"/>
          <w:szCs w:val="28"/>
        </w:rPr>
        <w:t>.Е</w:t>
      </w:r>
      <w:proofErr w:type="gramEnd"/>
      <w:r w:rsidRPr="001E4154">
        <w:rPr>
          <w:rFonts w:ascii="Times New Roman" w:eastAsia="Calibri" w:hAnsi="Times New Roman" w:cs="Times New Roman"/>
          <w:sz w:val="28"/>
          <w:szCs w:val="28"/>
        </w:rPr>
        <w:t>ршов</w:t>
      </w:r>
    </w:p>
    <w:p w:rsidR="00B13606" w:rsidRPr="001E4154" w:rsidRDefault="00B13606" w:rsidP="00B13606">
      <w:pPr>
        <w:jc w:val="center"/>
        <w:rPr>
          <w:rFonts w:ascii="Times New Roman" w:eastAsia="Calibri" w:hAnsi="Times New Roman" w:cs="Times New Roman"/>
          <w:sz w:val="28"/>
          <w:szCs w:val="28"/>
        </w:rPr>
      </w:pPr>
      <w:r w:rsidRPr="001E4154">
        <w:rPr>
          <w:rFonts w:ascii="Times New Roman" w:eastAsia="Calibri" w:hAnsi="Times New Roman" w:cs="Times New Roman"/>
          <w:sz w:val="28"/>
          <w:szCs w:val="28"/>
        </w:rPr>
        <w:t>2015</w:t>
      </w:r>
    </w:p>
    <w:p w:rsidR="00B13606" w:rsidRDefault="00B13606"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B13606" w:rsidRDefault="00B13606"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1E4154" w:rsidRDefault="001E4154" w:rsidP="00B13606">
      <w:pPr>
        <w:spacing w:after="0" w:line="225" w:lineRule="atLeast"/>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B13606" w:rsidRPr="00B13606"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Содержание</w:t>
      </w:r>
    </w:p>
    <w:p w:rsidR="00B13606" w:rsidRPr="00B13606" w:rsidRDefault="00B13606" w:rsidP="00B13606">
      <w:pPr>
        <w:spacing w:after="225"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Общие положения</w:t>
      </w:r>
    </w:p>
    <w:p w:rsidR="00B13606" w:rsidRPr="001E4154" w:rsidRDefault="00B13606" w:rsidP="00B13606">
      <w:pPr>
        <w:spacing w:after="225"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 Общая характеристика аудита в сфере закупок </w:t>
      </w:r>
    </w:p>
    <w:p w:rsidR="00B13606" w:rsidRPr="001E4154" w:rsidRDefault="00B13606" w:rsidP="00B13606">
      <w:pPr>
        <w:spacing w:after="225"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 3. Предмет и объекты аудита в сфере закупок </w:t>
      </w:r>
    </w:p>
    <w:p w:rsidR="00B13606" w:rsidRPr="00B13606" w:rsidRDefault="00B13606" w:rsidP="00B13606">
      <w:pPr>
        <w:spacing w:after="225"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 4. Этапы и процедуры организац</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дита в сфере закупок</w:t>
      </w:r>
    </w:p>
    <w:p w:rsidR="00B13606" w:rsidRPr="00B13606" w:rsidRDefault="00B13606" w:rsidP="00B13606">
      <w:pPr>
        <w:spacing w:after="225" w:line="225" w:lineRule="atLeast"/>
        <w:textAlignment w:val="baseline"/>
        <w:rPr>
          <w:rFonts w:ascii="Times New Roman" w:eastAsia="Times New Roman" w:hAnsi="Times New Roman" w:cs="Times New Roman"/>
          <w:color w:val="000000" w:themeColor="text1"/>
          <w:sz w:val="24"/>
          <w:szCs w:val="24"/>
          <w:lang w:eastAsia="ru-RU"/>
        </w:rPr>
      </w:pPr>
      <w:r w:rsidRPr="001E4154">
        <w:rPr>
          <w:rFonts w:ascii="Times New Roman" w:eastAsia="Times New Roman" w:hAnsi="Times New Roman" w:cs="Times New Roman"/>
          <w:color w:val="000000" w:themeColor="text1"/>
          <w:sz w:val="24"/>
          <w:szCs w:val="24"/>
          <w:lang w:eastAsia="ru-RU"/>
        </w:rPr>
        <w:t xml:space="preserve"> </w:t>
      </w:r>
      <w:r w:rsidRPr="00B13606">
        <w:rPr>
          <w:rFonts w:ascii="Times New Roman" w:eastAsia="Times New Roman" w:hAnsi="Times New Roman" w:cs="Times New Roman"/>
          <w:color w:val="000000" w:themeColor="text1"/>
          <w:sz w:val="24"/>
          <w:szCs w:val="24"/>
          <w:lang w:eastAsia="ru-RU"/>
        </w:rPr>
        <w:t>5. Требования к оформлению результатов аудита в сфере закупок</w:t>
      </w: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1E4154"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bdr w:val="none" w:sz="0" w:space="0" w:color="auto" w:frame="1"/>
          <w:lang w:eastAsia="ru-RU"/>
        </w:rPr>
      </w:pPr>
    </w:p>
    <w:p w:rsidR="00B13606" w:rsidRPr="00B13606" w:rsidRDefault="00B13606" w:rsidP="00B13606">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1. Общие положения</w:t>
      </w:r>
    </w:p>
    <w:p w:rsidR="00FD611E" w:rsidRDefault="00B13606" w:rsidP="00FD611E">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1.1. Стандарт внешнего муниципального финансового контроля «Аудит в сфере закупок товаров, работ, услуг для муниципальных нужд» (далее – Стандарт) - нормативный документ, регламентирующий правила проведения аудита в сфере закупок товаров, работ, услуг для муниципальных нужд в рамках реализации положений ст. 98 Федерального закона от 05.04.2013 г. № 44-ФЗ "О контрактной системе в сфере закупок товаров, работ, услуг для обеспечения государственных и муниципальных нужд" </w:t>
      </w:r>
      <w:proofErr w:type="gramStart"/>
      <w:r w:rsidRPr="00B13606">
        <w:rPr>
          <w:rFonts w:ascii="Times New Roman" w:eastAsia="Times New Roman" w:hAnsi="Times New Roman" w:cs="Times New Roman"/>
          <w:color w:val="000000" w:themeColor="text1"/>
          <w:sz w:val="24"/>
          <w:szCs w:val="24"/>
          <w:lang w:eastAsia="ru-RU"/>
        </w:rPr>
        <w:t xml:space="preserve">( </w:t>
      </w:r>
      <w:proofErr w:type="gramEnd"/>
      <w:r w:rsidRPr="00B13606">
        <w:rPr>
          <w:rFonts w:ascii="Times New Roman" w:eastAsia="Times New Roman" w:hAnsi="Times New Roman" w:cs="Times New Roman"/>
          <w:color w:val="000000" w:themeColor="text1"/>
          <w:sz w:val="24"/>
          <w:szCs w:val="24"/>
          <w:lang w:eastAsia="ru-RU"/>
        </w:rPr>
        <w:t xml:space="preserve">далее – </w:t>
      </w:r>
      <w:proofErr w:type="gramStart"/>
      <w:r w:rsidRPr="00B13606">
        <w:rPr>
          <w:rFonts w:ascii="Times New Roman" w:eastAsia="Times New Roman" w:hAnsi="Times New Roman" w:cs="Times New Roman"/>
          <w:color w:val="000000" w:themeColor="text1"/>
          <w:sz w:val="24"/>
          <w:szCs w:val="24"/>
          <w:lang w:eastAsia="ru-RU"/>
        </w:rPr>
        <w:t>Федеральный закон № 44-ФЗ), предназначен для методологического об</w:t>
      </w:r>
      <w:r w:rsidR="00FD611E">
        <w:rPr>
          <w:rFonts w:ascii="Times New Roman" w:eastAsia="Times New Roman" w:hAnsi="Times New Roman" w:cs="Times New Roman"/>
          <w:color w:val="000000" w:themeColor="text1"/>
          <w:sz w:val="24"/>
          <w:szCs w:val="24"/>
          <w:lang w:eastAsia="ru-RU"/>
        </w:rPr>
        <w:t>еспечения реализации положений р</w:t>
      </w:r>
      <w:r w:rsidRPr="00B13606">
        <w:rPr>
          <w:rFonts w:ascii="Times New Roman" w:eastAsia="Times New Roman" w:hAnsi="Times New Roman" w:cs="Times New Roman"/>
          <w:color w:val="000000" w:themeColor="text1"/>
          <w:sz w:val="24"/>
          <w:szCs w:val="24"/>
          <w:lang w:eastAsia="ru-RU"/>
        </w:rPr>
        <w:t>ешения</w:t>
      </w:r>
      <w:r w:rsidR="00FD611E">
        <w:rPr>
          <w:rFonts w:ascii="Times New Roman" w:eastAsia="Times New Roman" w:hAnsi="Times New Roman" w:cs="Times New Roman"/>
          <w:color w:val="000000" w:themeColor="text1"/>
          <w:sz w:val="24"/>
          <w:szCs w:val="24"/>
          <w:lang w:eastAsia="ru-RU"/>
        </w:rPr>
        <w:t xml:space="preserve"> районного Собрания </w:t>
      </w:r>
      <w:proofErr w:type="spellStart"/>
      <w:r w:rsidR="00FD611E">
        <w:rPr>
          <w:rFonts w:ascii="Times New Roman" w:eastAsia="Times New Roman" w:hAnsi="Times New Roman" w:cs="Times New Roman"/>
          <w:color w:val="000000" w:themeColor="text1"/>
          <w:sz w:val="24"/>
          <w:szCs w:val="24"/>
          <w:lang w:eastAsia="ru-RU"/>
        </w:rPr>
        <w:t>Ершовского</w:t>
      </w:r>
      <w:proofErr w:type="spellEnd"/>
      <w:r w:rsidR="00FD611E">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 xml:space="preserve"> от </w:t>
      </w:r>
      <w:r w:rsidR="00FD611E">
        <w:rPr>
          <w:rFonts w:ascii="Times New Roman" w:eastAsia="Times New Roman" w:hAnsi="Times New Roman" w:cs="Times New Roman"/>
          <w:color w:val="000000" w:themeColor="text1"/>
          <w:sz w:val="24"/>
          <w:szCs w:val="24"/>
          <w:lang w:eastAsia="ru-RU"/>
        </w:rPr>
        <w:t>03</w:t>
      </w:r>
      <w:r w:rsidRPr="00B13606">
        <w:rPr>
          <w:rFonts w:ascii="Times New Roman" w:eastAsia="Times New Roman" w:hAnsi="Times New Roman" w:cs="Times New Roman"/>
          <w:color w:val="000000" w:themeColor="text1"/>
          <w:sz w:val="24"/>
          <w:szCs w:val="24"/>
          <w:lang w:eastAsia="ru-RU"/>
        </w:rPr>
        <w:t>.0</w:t>
      </w:r>
      <w:r w:rsidR="00FD611E">
        <w:rPr>
          <w:rFonts w:ascii="Times New Roman" w:eastAsia="Times New Roman" w:hAnsi="Times New Roman" w:cs="Times New Roman"/>
          <w:color w:val="000000" w:themeColor="text1"/>
          <w:sz w:val="24"/>
          <w:szCs w:val="24"/>
          <w:lang w:eastAsia="ru-RU"/>
        </w:rPr>
        <w:t>8</w:t>
      </w:r>
      <w:r w:rsidRPr="00B13606">
        <w:rPr>
          <w:rFonts w:ascii="Times New Roman" w:eastAsia="Times New Roman" w:hAnsi="Times New Roman" w:cs="Times New Roman"/>
          <w:color w:val="000000" w:themeColor="text1"/>
          <w:sz w:val="24"/>
          <w:szCs w:val="24"/>
          <w:lang w:eastAsia="ru-RU"/>
        </w:rPr>
        <w:t>.201</w:t>
      </w:r>
      <w:r w:rsidR="00FD611E">
        <w:rPr>
          <w:rFonts w:ascii="Times New Roman" w:eastAsia="Times New Roman" w:hAnsi="Times New Roman" w:cs="Times New Roman"/>
          <w:color w:val="000000" w:themeColor="text1"/>
          <w:sz w:val="24"/>
          <w:szCs w:val="24"/>
          <w:lang w:eastAsia="ru-RU"/>
        </w:rPr>
        <w:t xml:space="preserve">2г.  с дополнениями от 02.10.2014г. №13-92 </w:t>
      </w:r>
      <w:r w:rsidRPr="00B13606">
        <w:rPr>
          <w:rFonts w:ascii="Times New Roman" w:eastAsia="Times New Roman" w:hAnsi="Times New Roman" w:cs="Times New Roman"/>
          <w:color w:val="000000" w:themeColor="text1"/>
          <w:sz w:val="24"/>
          <w:szCs w:val="24"/>
          <w:lang w:eastAsia="ru-RU"/>
        </w:rPr>
        <w:t xml:space="preserve"> « Положени</w:t>
      </w:r>
      <w:r w:rsidR="00FD611E">
        <w:rPr>
          <w:rFonts w:ascii="Times New Roman" w:eastAsia="Times New Roman" w:hAnsi="Times New Roman" w:cs="Times New Roman"/>
          <w:color w:val="000000" w:themeColor="text1"/>
          <w:sz w:val="24"/>
          <w:szCs w:val="24"/>
          <w:lang w:eastAsia="ru-RU"/>
        </w:rPr>
        <w:t>я</w:t>
      </w:r>
      <w:r w:rsidRPr="00B13606">
        <w:rPr>
          <w:rFonts w:ascii="Times New Roman" w:eastAsia="Times New Roman" w:hAnsi="Times New Roman" w:cs="Times New Roman"/>
          <w:color w:val="000000" w:themeColor="text1"/>
          <w:sz w:val="24"/>
          <w:szCs w:val="24"/>
          <w:lang w:eastAsia="ru-RU"/>
        </w:rPr>
        <w:t xml:space="preserve"> о контрольно-счетной</w:t>
      </w:r>
      <w:r w:rsidR="00FD611E">
        <w:rPr>
          <w:rFonts w:ascii="Times New Roman" w:eastAsia="Times New Roman" w:hAnsi="Times New Roman" w:cs="Times New Roman"/>
          <w:color w:val="000000" w:themeColor="text1"/>
          <w:sz w:val="24"/>
          <w:szCs w:val="24"/>
          <w:lang w:eastAsia="ru-RU"/>
        </w:rPr>
        <w:t xml:space="preserve"> комиссии </w:t>
      </w:r>
      <w:proofErr w:type="spellStart"/>
      <w:r w:rsidR="00FD611E">
        <w:rPr>
          <w:rFonts w:ascii="Times New Roman" w:eastAsia="Times New Roman" w:hAnsi="Times New Roman" w:cs="Times New Roman"/>
          <w:color w:val="000000" w:themeColor="text1"/>
          <w:sz w:val="24"/>
          <w:szCs w:val="24"/>
          <w:lang w:eastAsia="ru-RU"/>
        </w:rPr>
        <w:t>Ершовского</w:t>
      </w:r>
      <w:proofErr w:type="spellEnd"/>
      <w:r w:rsidR="00FD611E">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w:t>
      </w:r>
      <w:r w:rsidR="00FD611E">
        <w:rPr>
          <w:rFonts w:ascii="Times New Roman" w:eastAsia="Times New Roman" w:hAnsi="Times New Roman" w:cs="Times New Roman"/>
          <w:color w:val="000000" w:themeColor="text1"/>
          <w:sz w:val="24"/>
          <w:szCs w:val="24"/>
          <w:lang w:eastAsia="ru-RU"/>
        </w:rPr>
        <w:t>.</w:t>
      </w:r>
      <w:proofErr w:type="gramEnd"/>
    </w:p>
    <w:p w:rsidR="00B13606" w:rsidRPr="00B13606" w:rsidRDefault="00B13606" w:rsidP="00FD611E">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 xml:space="preserve">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Решения </w:t>
      </w:r>
      <w:r w:rsidR="00063AC3">
        <w:rPr>
          <w:rFonts w:ascii="Times New Roman" w:eastAsia="Times New Roman" w:hAnsi="Times New Roman" w:cs="Times New Roman"/>
          <w:color w:val="000000" w:themeColor="text1"/>
          <w:sz w:val="24"/>
          <w:szCs w:val="24"/>
          <w:lang w:eastAsia="ru-RU"/>
        </w:rPr>
        <w:t xml:space="preserve">районного Собрания </w:t>
      </w:r>
      <w:proofErr w:type="spellStart"/>
      <w:r w:rsidR="00063AC3">
        <w:rPr>
          <w:rFonts w:ascii="Times New Roman" w:eastAsia="Times New Roman" w:hAnsi="Times New Roman" w:cs="Times New Roman"/>
          <w:color w:val="000000" w:themeColor="text1"/>
          <w:sz w:val="24"/>
          <w:szCs w:val="24"/>
          <w:lang w:eastAsia="ru-RU"/>
        </w:rPr>
        <w:t>Ершовского</w:t>
      </w:r>
      <w:proofErr w:type="spellEnd"/>
      <w:r w:rsidR="00063AC3">
        <w:rPr>
          <w:rFonts w:ascii="Times New Roman" w:eastAsia="Times New Roman" w:hAnsi="Times New Roman" w:cs="Times New Roman"/>
          <w:color w:val="000000" w:themeColor="text1"/>
          <w:sz w:val="24"/>
          <w:szCs w:val="24"/>
          <w:lang w:eastAsia="ru-RU"/>
        </w:rPr>
        <w:t xml:space="preserve"> муниципального района от 03</w:t>
      </w:r>
      <w:r w:rsidRPr="00B13606">
        <w:rPr>
          <w:rFonts w:ascii="Times New Roman" w:eastAsia="Times New Roman" w:hAnsi="Times New Roman" w:cs="Times New Roman"/>
          <w:color w:val="000000" w:themeColor="text1"/>
          <w:sz w:val="24"/>
          <w:szCs w:val="24"/>
          <w:lang w:eastAsia="ru-RU"/>
        </w:rPr>
        <w:t>.0</w:t>
      </w:r>
      <w:r w:rsidR="00063AC3">
        <w:rPr>
          <w:rFonts w:ascii="Times New Roman" w:eastAsia="Times New Roman" w:hAnsi="Times New Roman" w:cs="Times New Roman"/>
          <w:color w:val="000000" w:themeColor="text1"/>
          <w:sz w:val="24"/>
          <w:szCs w:val="24"/>
          <w:lang w:eastAsia="ru-RU"/>
        </w:rPr>
        <w:t>8</w:t>
      </w:r>
      <w:r w:rsidRPr="00B13606">
        <w:rPr>
          <w:rFonts w:ascii="Times New Roman" w:eastAsia="Times New Roman" w:hAnsi="Times New Roman" w:cs="Times New Roman"/>
          <w:color w:val="000000" w:themeColor="text1"/>
          <w:sz w:val="24"/>
          <w:szCs w:val="24"/>
          <w:lang w:eastAsia="ru-RU"/>
        </w:rPr>
        <w:t>.201</w:t>
      </w:r>
      <w:r w:rsidR="00063AC3">
        <w:rPr>
          <w:rFonts w:ascii="Times New Roman" w:eastAsia="Times New Roman" w:hAnsi="Times New Roman" w:cs="Times New Roman"/>
          <w:color w:val="000000" w:themeColor="text1"/>
          <w:sz w:val="24"/>
          <w:szCs w:val="24"/>
          <w:lang w:eastAsia="ru-RU"/>
        </w:rPr>
        <w:t>2</w:t>
      </w:r>
      <w:r w:rsidRPr="00B13606">
        <w:rPr>
          <w:rFonts w:ascii="Times New Roman" w:eastAsia="Times New Roman" w:hAnsi="Times New Roman" w:cs="Times New Roman"/>
          <w:color w:val="000000" w:themeColor="text1"/>
          <w:sz w:val="24"/>
          <w:szCs w:val="24"/>
          <w:lang w:eastAsia="ru-RU"/>
        </w:rPr>
        <w:t xml:space="preserve"> № </w:t>
      </w:r>
      <w:r w:rsidR="009307A1">
        <w:rPr>
          <w:rFonts w:ascii="Times New Roman" w:eastAsia="Times New Roman" w:hAnsi="Times New Roman" w:cs="Times New Roman"/>
          <w:color w:val="000000" w:themeColor="text1"/>
          <w:sz w:val="24"/>
          <w:szCs w:val="24"/>
          <w:lang w:eastAsia="ru-RU"/>
        </w:rPr>
        <w:t>35-217</w:t>
      </w:r>
      <w:r w:rsidRPr="00B13606">
        <w:rPr>
          <w:rFonts w:ascii="Times New Roman" w:eastAsia="Times New Roman" w:hAnsi="Times New Roman" w:cs="Times New Roman"/>
          <w:color w:val="000000" w:themeColor="text1"/>
          <w:sz w:val="24"/>
          <w:szCs w:val="24"/>
          <w:lang w:eastAsia="ru-RU"/>
        </w:rPr>
        <w:t xml:space="preserve"> « Положении о контрольно-счетной </w:t>
      </w:r>
      <w:r w:rsidR="009307A1">
        <w:rPr>
          <w:rFonts w:ascii="Times New Roman" w:eastAsia="Times New Roman" w:hAnsi="Times New Roman" w:cs="Times New Roman"/>
          <w:color w:val="000000" w:themeColor="text1"/>
          <w:sz w:val="24"/>
          <w:szCs w:val="24"/>
          <w:lang w:eastAsia="ru-RU"/>
        </w:rPr>
        <w:t xml:space="preserve">комиссии </w:t>
      </w:r>
      <w:proofErr w:type="spellStart"/>
      <w:r w:rsidR="009307A1">
        <w:rPr>
          <w:rFonts w:ascii="Times New Roman" w:eastAsia="Times New Roman" w:hAnsi="Times New Roman" w:cs="Times New Roman"/>
          <w:color w:val="000000" w:themeColor="text1"/>
          <w:sz w:val="24"/>
          <w:szCs w:val="24"/>
          <w:lang w:eastAsia="ru-RU"/>
        </w:rPr>
        <w:t>Ершовского</w:t>
      </w:r>
      <w:proofErr w:type="spellEnd"/>
      <w:r w:rsidR="009307A1">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 на основе Общих требований к стандартам внешнего государственного и муниципального финансового контроля (утв. Коллегией Счетной палаты Российской Федерации от</w:t>
      </w:r>
      <w:proofErr w:type="gramEnd"/>
      <w:r w:rsidRPr="00B13606">
        <w:rPr>
          <w:rFonts w:ascii="Times New Roman" w:eastAsia="Times New Roman" w:hAnsi="Times New Roman" w:cs="Times New Roman"/>
          <w:color w:val="000000" w:themeColor="text1"/>
          <w:sz w:val="24"/>
          <w:szCs w:val="24"/>
          <w:lang w:eastAsia="ru-RU"/>
        </w:rPr>
        <w:t xml:space="preserve"> 12.05.2012).</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1.2.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муниципальных нужд» (далее – аудит в сфере закупок) должностными лицами контрольно-счетной </w:t>
      </w:r>
      <w:r w:rsidR="00240A0E">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1.3. Задачами Стандарта являются:</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определение содержания, принципов и процедур проведения экспертно-аналитического мероприятия по аудиту в сфере закупок;</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установление общих требований к организации, подготовке, проведению и оформлению результатов экспертно-аналитического мероприятия по аудиту в сфере закупок.</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1.4. Объектом стандартизации является аудит в сфере закупок, проводимый должностными лицами контрольно-счетной палаты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 44-ФЗ.</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1.5. Применение стандарта должностными лицами контрольно-счетной палаты при проведен</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1.6. </w:t>
      </w:r>
      <w:proofErr w:type="gramStart"/>
      <w:r w:rsidRPr="00B13606">
        <w:rPr>
          <w:rFonts w:ascii="Times New Roman" w:eastAsia="Times New Roman" w:hAnsi="Times New Roman" w:cs="Times New Roman"/>
          <w:color w:val="000000" w:themeColor="text1"/>
          <w:sz w:val="24"/>
          <w:szCs w:val="24"/>
          <w:lang w:eastAsia="ru-RU"/>
        </w:rPr>
        <w:t>По результатам аудита в сфере закупок должностными лицами контрольно-счетной палаты обобщаются результаты,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на официальном сайте</w:t>
      </w:r>
      <w:proofErr w:type="gramEnd"/>
      <w:r w:rsidRPr="00B13606">
        <w:rPr>
          <w:rFonts w:ascii="Times New Roman" w:eastAsia="Times New Roman" w:hAnsi="Times New Roman" w:cs="Times New Roman"/>
          <w:color w:val="000000" w:themeColor="text1"/>
          <w:sz w:val="24"/>
          <w:szCs w:val="24"/>
          <w:lang w:eastAsia="ru-RU"/>
        </w:rPr>
        <w:t xml:space="preserve"> контрольно-счетной палаты в информационно-телекоммуникационной сети Интернет.</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1.7. Положения Стандарта не распространяются на подготовку заключений контрольно-счетной </w:t>
      </w:r>
      <w:r w:rsidR="00A6145F">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в рамках предварительного и последующего контроля, осуществление которого регулируется соответствующими стандартами и иными локальными документами КС</w:t>
      </w:r>
      <w:r w:rsidR="00240A0E">
        <w:rPr>
          <w:rFonts w:ascii="Times New Roman" w:eastAsia="Times New Roman" w:hAnsi="Times New Roman" w:cs="Times New Roman"/>
          <w:color w:val="000000" w:themeColor="text1"/>
          <w:sz w:val="24"/>
          <w:szCs w:val="24"/>
          <w:lang w:eastAsia="ru-RU"/>
        </w:rPr>
        <w:t>К</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1.8. Основные термины и понятия:</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мониторинг – наблюдение, оценка, анализ и прогноз состояния отдельных процессов;</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lastRenderedPageBreak/>
        <w:t>экспертиза –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анализ - метод исследования (познания) явлений и процессов, в основе которого лежит изучение составных частей, элементов изучаемой системы, который применяется с целью выявления сущности, закономерностей, тенденций </w:t>
      </w:r>
      <w:proofErr w:type="gramStart"/>
      <w:r w:rsidRPr="00B13606">
        <w:rPr>
          <w:rFonts w:ascii="Times New Roman" w:eastAsia="Times New Roman" w:hAnsi="Times New Roman" w:cs="Times New Roman"/>
          <w:color w:val="000000" w:themeColor="text1"/>
          <w:sz w:val="24"/>
          <w:szCs w:val="24"/>
          <w:lang w:eastAsia="ru-RU"/>
        </w:rPr>
        <w:t>экономических и социальных процессов</w:t>
      </w:r>
      <w:proofErr w:type="gramEnd"/>
      <w:r w:rsidRPr="00B13606">
        <w:rPr>
          <w:rFonts w:ascii="Times New Roman" w:eastAsia="Times New Roman" w:hAnsi="Times New Roman" w:cs="Times New Roman"/>
          <w:color w:val="000000" w:themeColor="text1"/>
          <w:sz w:val="24"/>
          <w:szCs w:val="24"/>
          <w:lang w:eastAsia="ru-RU"/>
        </w:rPr>
        <w:t>, хозяйственной деятельности и служит исходной отправной точкой прогнозирования, планирования, управления экономическими объектами и протекающими в них процессами;</w:t>
      </w:r>
    </w:p>
    <w:p w:rsidR="00B13606" w:rsidRPr="00B13606" w:rsidRDefault="00B13606" w:rsidP="009307A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отчет (заключение) о результатах экспертно-аналитического мероприятия – итоговый документ, оформляемый в целом по результатам экспертно-аналитического мероприятия, в котором отражается содержание проведенного исследования, оформленный по установленной форме.</w:t>
      </w:r>
    </w:p>
    <w:p w:rsidR="00B13606" w:rsidRPr="00B13606" w:rsidRDefault="00B13606" w:rsidP="009307A1">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2. Общая характеристика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2.1. 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определенных статьей 267.1. Бюджетного кодекса Российской Федерации.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2.2.Цель аудита в сфере закупок – проанализировать и оценить результаты закупок, достижения целей осуществления закупок, определенных в соответствии со статьей 13 Федерального закона № 44-ФЗ.</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2.3.Для достижения цели аудита должностные лица контрольно-счетной </w:t>
      </w:r>
      <w:r w:rsidR="00A6145F">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B13606">
        <w:rPr>
          <w:rFonts w:ascii="Times New Roman" w:eastAsia="Times New Roman" w:hAnsi="Times New Roman" w:cs="Times New Roman"/>
          <w:color w:val="000000" w:themeColor="text1"/>
          <w:sz w:val="24"/>
          <w:szCs w:val="24"/>
          <w:lang w:eastAsia="ru-RU"/>
        </w:rPr>
        <w:t>анализа положений статей Бюджетного кодекса Российской Федерации</w:t>
      </w:r>
      <w:proofErr w:type="gramEnd"/>
      <w:r w:rsidRPr="00B13606">
        <w:rPr>
          <w:rFonts w:ascii="Times New Roman" w:eastAsia="Times New Roman" w:hAnsi="Times New Roman" w:cs="Times New Roman"/>
          <w:color w:val="000000" w:themeColor="text1"/>
          <w:sz w:val="24"/>
          <w:szCs w:val="24"/>
          <w:lang w:eastAsia="ru-RU"/>
        </w:rPr>
        <w:t xml:space="preserve"> и нормативных правовых актов, устанавливающих порядок расходования средств бюджета, в том числе и на закупки товаров, работ,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2.3.2. </w:t>
      </w:r>
      <w:proofErr w:type="gramStart"/>
      <w:r w:rsidRPr="00B13606">
        <w:rPr>
          <w:rFonts w:ascii="Times New Roman" w:eastAsia="Times New Roman" w:hAnsi="Times New Roman" w:cs="Times New Roman"/>
          <w:color w:val="000000" w:themeColor="text1"/>
          <w:sz w:val="24"/>
          <w:szCs w:val="24"/>
          <w:lang w:eastAsia="ru-RU"/>
        </w:rPr>
        <w:t>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Федерации, решениям, поручениям Правительства Российской Федерации, законам Са</w:t>
      </w:r>
      <w:r w:rsidR="002C5511">
        <w:rPr>
          <w:rFonts w:ascii="Times New Roman" w:eastAsia="Times New Roman" w:hAnsi="Times New Roman" w:cs="Times New Roman"/>
          <w:color w:val="000000" w:themeColor="text1"/>
          <w:sz w:val="24"/>
          <w:szCs w:val="24"/>
          <w:lang w:eastAsia="ru-RU"/>
        </w:rPr>
        <w:t>ратовской</w:t>
      </w:r>
      <w:r w:rsidRPr="00B13606">
        <w:rPr>
          <w:rFonts w:ascii="Times New Roman" w:eastAsia="Times New Roman" w:hAnsi="Times New Roman" w:cs="Times New Roman"/>
          <w:color w:val="000000" w:themeColor="text1"/>
          <w:sz w:val="24"/>
          <w:szCs w:val="24"/>
          <w:lang w:eastAsia="ru-RU"/>
        </w:rPr>
        <w:t xml:space="preserve"> области, решениям, поручениям высших исполнительных органов государственной власти Са</w:t>
      </w:r>
      <w:r w:rsidR="002C5511">
        <w:rPr>
          <w:rFonts w:ascii="Times New Roman" w:eastAsia="Times New Roman" w:hAnsi="Times New Roman" w:cs="Times New Roman"/>
          <w:color w:val="000000" w:themeColor="text1"/>
          <w:sz w:val="24"/>
          <w:szCs w:val="24"/>
          <w:lang w:eastAsia="ru-RU"/>
        </w:rPr>
        <w:t>р</w:t>
      </w:r>
      <w:r w:rsidRPr="00B13606">
        <w:rPr>
          <w:rFonts w:ascii="Times New Roman" w:eastAsia="Times New Roman" w:hAnsi="Times New Roman" w:cs="Times New Roman"/>
          <w:color w:val="000000" w:themeColor="text1"/>
          <w:sz w:val="24"/>
          <w:szCs w:val="24"/>
          <w:lang w:eastAsia="ru-RU"/>
        </w:rPr>
        <w:t>а</w:t>
      </w:r>
      <w:r w:rsidR="002C5511">
        <w:rPr>
          <w:rFonts w:ascii="Times New Roman" w:eastAsia="Times New Roman" w:hAnsi="Times New Roman" w:cs="Times New Roman"/>
          <w:color w:val="000000" w:themeColor="text1"/>
          <w:sz w:val="24"/>
          <w:szCs w:val="24"/>
          <w:lang w:eastAsia="ru-RU"/>
        </w:rPr>
        <w:t>товской</w:t>
      </w:r>
      <w:r w:rsidRPr="00B13606">
        <w:rPr>
          <w:rFonts w:ascii="Times New Roman" w:eastAsia="Times New Roman" w:hAnsi="Times New Roman" w:cs="Times New Roman"/>
          <w:color w:val="000000" w:themeColor="text1"/>
          <w:sz w:val="24"/>
          <w:szCs w:val="24"/>
          <w:lang w:eastAsia="ru-RU"/>
        </w:rPr>
        <w:t xml:space="preserve"> области, муниципальным</w:t>
      </w:r>
      <w:proofErr w:type="gramEnd"/>
      <w:r w:rsidRPr="00B13606">
        <w:rPr>
          <w:rFonts w:ascii="Times New Roman" w:eastAsia="Times New Roman" w:hAnsi="Times New Roman" w:cs="Times New Roman"/>
          <w:color w:val="000000" w:themeColor="text1"/>
          <w:sz w:val="24"/>
          <w:szCs w:val="24"/>
          <w:lang w:eastAsia="ru-RU"/>
        </w:rPr>
        <w:t xml:space="preserve"> правовым актам</w:t>
      </w:r>
      <w:r w:rsidR="002C5511">
        <w:rPr>
          <w:rFonts w:ascii="Times New Roman" w:eastAsia="Times New Roman" w:hAnsi="Times New Roman" w:cs="Times New Roman"/>
          <w:color w:val="000000" w:themeColor="text1"/>
          <w:sz w:val="24"/>
          <w:szCs w:val="24"/>
          <w:lang w:eastAsia="ru-RU"/>
        </w:rPr>
        <w:t xml:space="preserve"> </w:t>
      </w:r>
      <w:proofErr w:type="spellStart"/>
      <w:r w:rsidR="002C5511">
        <w:rPr>
          <w:rFonts w:ascii="Times New Roman" w:eastAsia="Times New Roman" w:hAnsi="Times New Roman" w:cs="Times New Roman"/>
          <w:color w:val="000000" w:themeColor="text1"/>
          <w:sz w:val="24"/>
          <w:szCs w:val="24"/>
          <w:lang w:eastAsia="ru-RU"/>
        </w:rPr>
        <w:t>Ершовского</w:t>
      </w:r>
      <w:proofErr w:type="spellEnd"/>
      <w:r w:rsidR="002C5511">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 а также законодательству Российской Федерации и иным нормативным правовым актам о контрактной системе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2.3.3. </w:t>
      </w:r>
      <w:proofErr w:type="gramStart"/>
      <w:r w:rsidRPr="00B13606">
        <w:rPr>
          <w:rFonts w:ascii="Times New Roman" w:eastAsia="Times New Roman" w:hAnsi="Times New Roman" w:cs="Times New Roman"/>
          <w:color w:val="000000" w:themeColor="text1"/>
          <w:sz w:val="24"/>
          <w:szCs w:val="24"/>
          <w:lang w:eastAsia="ru-RU"/>
        </w:rPr>
        <w:t>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 44-ФЗ.</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2.3.4. </w:t>
      </w:r>
      <w:proofErr w:type="gramStart"/>
      <w:r w:rsidRPr="00B13606">
        <w:rPr>
          <w:rFonts w:ascii="Times New Roman" w:eastAsia="Times New Roman" w:hAnsi="Times New Roman" w:cs="Times New Roman"/>
          <w:color w:val="000000" w:themeColor="text1"/>
          <w:sz w:val="24"/>
          <w:szCs w:val="24"/>
          <w:lang w:eastAsia="ru-RU"/>
        </w:rPr>
        <w:t xml:space="preserve">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w:t>
      </w:r>
      <w:r w:rsidRPr="00B13606">
        <w:rPr>
          <w:rFonts w:ascii="Times New Roman" w:eastAsia="Times New Roman" w:hAnsi="Times New Roman" w:cs="Times New Roman"/>
          <w:color w:val="000000" w:themeColor="text1"/>
          <w:sz w:val="24"/>
          <w:szCs w:val="24"/>
          <w:lang w:eastAsia="ru-RU"/>
        </w:rPr>
        <w:lastRenderedPageBreak/>
        <w:t xml:space="preserve">осуществления закупок по плану закупок, срока действия решения </w:t>
      </w:r>
      <w:r w:rsidR="002C5511">
        <w:rPr>
          <w:rFonts w:ascii="Times New Roman" w:eastAsia="Times New Roman" w:hAnsi="Times New Roman" w:cs="Times New Roman"/>
          <w:color w:val="000000" w:themeColor="text1"/>
          <w:sz w:val="24"/>
          <w:szCs w:val="24"/>
          <w:lang w:eastAsia="ru-RU"/>
        </w:rPr>
        <w:t xml:space="preserve">районного Собрания </w:t>
      </w:r>
      <w:proofErr w:type="spellStart"/>
      <w:r w:rsidR="002C5511">
        <w:rPr>
          <w:rFonts w:ascii="Times New Roman" w:eastAsia="Times New Roman" w:hAnsi="Times New Roman" w:cs="Times New Roman"/>
          <w:color w:val="000000" w:themeColor="text1"/>
          <w:sz w:val="24"/>
          <w:szCs w:val="24"/>
          <w:lang w:eastAsia="ru-RU"/>
        </w:rPr>
        <w:t>Ершовского</w:t>
      </w:r>
      <w:proofErr w:type="spellEnd"/>
      <w:r w:rsidR="002C5511">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 xml:space="preserve"> о местном бюджете на очередной финансовый год и плановый период в соответствии с</w:t>
      </w:r>
      <w:proofErr w:type="gramEnd"/>
      <w:r w:rsidRPr="00B13606">
        <w:rPr>
          <w:rFonts w:ascii="Times New Roman" w:eastAsia="Times New Roman" w:hAnsi="Times New Roman" w:cs="Times New Roman"/>
          <w:color w:val="000000" w:themeColor="text1"/>
          <w:sz w:val="24"/>
          <w:szCs w:val="24"/>
          <w:lang w:eastAsia="ru-RU"/>
        </w:rPr>
        <w:t xml:space="preserve"> положениями Федерального закона № 44-ФЗ и Бюджетного кодекса Российской Федерации.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2.3.5. </w:t>
      </w:r>
      <w:proofErr w:type="gramStart"/>
      <w:r w:rsidRPr="00B13606">
        <w:rPr>
          <w:rFonts w:ascii="Times New Roman" w:eastAsia="Times New Roman" w:hAnsi="Times New Roman" w:cs="Times New Roman"/>
          <w:color w:val="000000" w:themeColor="text1"/>
          <w:sz w:val="24"/>
          <w:szCs w:val="24"/>
          <w:lang w:eastAsia="ru-RU"/>
        </w:rPr>
        <w:t>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2.3.6. </w:t>
      </w:r>
      <w:proofErr w:type="gramStart"/>
      <w:r w:rsidRPr="00B13606">
        <w:rPr>
          <w:rFonts w:ascii="Times New Roman" w:eastAsia="Times New Roman" w:hAnsi="Times New Roman" w:cs="Times New Roman"/>
          <w:color w:val="000000" w:themeColor="text1"/>
          <w:sz w:val="24"/>
          <w:szCs w:val="24"/>
          <w:lang w:eastAsia="ru-RU"/>
        </w:rPr>
        <w:t>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 44-ФЗ, осуществляется с учётом принципа эффективности использования бюджетных средств бюджетной системы Российской Федерации, определенного статьей 34 Бюджетного кодекса Российской Федерации в части использования определенного бюджетом объема средств.</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2.4. Аудит в сфере закупок должен быть:</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объективным - осуществляться с использованием обоснованных фактических документальных данных, полученных в установленном порядке, и обеспечивать полную и достоверную информацию по предмету мероприятия;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результативным</w:t>
      </w:r>
      <w:proofErr w:type="gramEnd"/>
      <w:r w:rsidRPr="00B13606">
        <w:rPr>
          <w:rFonts w:ascii="Times New Roman" w:eastAsia="Times New Roman" w:hAnsi="Times New Roman" w:cs="Times New Roman"/>
          <w:color w:val="000000" w:themeColor="text1"/>
          <w:sz w:val="24"/>
          <w:szCs w:val="24"/>
          <w:lang w:eastAsia="ru-RU"/>
        </w:rPr>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2.5. При проведен</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дита в сфере закупок могут использоваться мониторинг, экспертиза, обследование, анализ и другие методы экспертно-аналитической деятельности.</w:t>
      </w:r>
    </w:p>
    <w:p w:rsidR="00B13606" w:rsidRPr="00B13606" w:rsidRDefault="00B13606" w:rsidP="002C5511">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3. Предмет и объекты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3.1. Предметом аудита в сфере закупок являются: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документы планирования закупок товаров, работ,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 документы, регламентирующие определение поставщиков (подрядчиков, исполнителей);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3) гражданско-правовые договоры (контракты), предметом которых являются поставка товара, выполнение работы, оказание услуги, от имени </w:t>
      </w:r>
      <w:proofErr w:type="spellStart"/>
      <w:r w:rsidR="00A6145F">
        <w:rPr>
          <w:rFonts w:ascii="Times New Roman" w:eastAsia="Times New Roman" w:hAnsi="Times New Roman" w:cs="Times New Roman"/>
          <w:color w:val="000000" w:themeColor="text1"/>
          <w:sz w:val="24"/>
          <w:szCs w:val="24"/>
          <w:lang w:eastAsia="ru-RU"/>
        </w:rPr>
        <w:t>Ершовского</w:t>
      </w:r>
      <w:proofErr w:type="spellEnd"/>
      <w:r w:rsidR="00A6145F">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 а также бюджетным учреждением либо иным юридическим лицом в соответствии с частями 1, 4 и 5 статьи 15 Федерального закона № 44-ФЗ;</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 документы, подтверждающие исполнение контрактов;</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 заявки заказчиков, муниципальных заказчиков, заявки участников закупки;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6) протоколы, составленные по результатам закупок товаров, работ,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7) реестры договоров (контрактов), заключенных заказчиками;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8) информация, размещённая в единой информационной системе в сфере закупок, указанная в части 3 статьи 4 Федерального закона № 44-ФЗ, с использованием официального сайта </w:t>
      </w:r>
      <w:proofErr w:type="spellStart"/>
      <w:r w:rsidRPr="00B13606">
        <w:rPr>
          <w:rFonts w:ascii="Times New Roman" w:eastAsia="Times New Roman" w:hAnsi="Times New Roman" w:cs="Times New Roman"/>
          <w:color w:val="000000" w:themeColor="text1"/>
          <w:sz w:val="24"/>
          <w:szCs w:val="24"/>
          <w:lang w:eastAsia="ru-RU"/>
        </w:rPr>
        <w:t>www.zakupki.gov.ru</w:t>
      </w:r>
      <w:proofErr w:type="spellEnd"/>
      <w:r w:rsidRPr="00B13606">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а также других информационных системах.</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9) иные вопросы в сфере внешнего муниципального финансового контроля, установленные федеральными законами, законами </w:t>
      </w:r>
      <w:r w:rsidR="00563740">
        <w:rPr>
          <w:rFonts w:ascii="Times New Roman" w:eastAsia="Times New Roman" w:hAnsi="Times New Roman" w:cs="Times New Roman"/>
          <w:color w:val="000000" w:themeColor="text1"/>
          <w:sz w:val="24"/>
          <w:szCs w:val="24"/>
          <w:lang w:eastAsia="ru-RU"/>
        </w:rPr>
        <w:t>Саратовской области</w:t>
      </w:r>
      <w:r w:rsidRPr="00B13606">
        <w:rPr>
          <w:rFonts w:ascii="Times New Roman" w:eastAsia="Times New Roman" w:hAnsi="Times New Roman" w:cs="Times New Roman"/>
          <w:color w:val="000000" w:themeColor="text1"/>
          <w:sz w:val="24"/>
          <w:szCs w:val="24"/>
          <w:lang w:eastAsia="ru-RU"/>
        </w:rPr>
        <w:t xml:space="preserve">, </w:t>
      </w:r>
      <w:r w:rsidR="00A6145F">
        <w:rPr>
          <w:rFonts w:ascii="Times New Roman" w:eastAsia="Times New Roman" w:hAnsi="Times New Roman" w:cs="Times New Roman"/>
          <w:color w:val="000000" w:themeColor="text1"/>
          <w:sz w:val="24"/>
          <w:szCs w:val="24"/>
          <w:lang w:eastAsia="ru-RU"/>
        </w:rPr>
        <w:t xml:space="preserve">решением </w:t>
      </w:r>
      <w:r w:rsidR="00563740">
        <w:rPr>
          <w:rFonts w:ascii="Times New Roman" w:eastAsia="Times New Roman" w:hAnsi="Times New Roman" w:cs="Times New Roman"/>
          <w:color w:val="000000" w:themeColor="text1"/>
          <w:sz w:val="24"/>
          <w:szCs w:val="24"/>
          <w:lang w:eastAsia="ru-RU"/>
        </w:rPr>
        <w:t xml:space="preserve">районного Собрания </w:t>
      </w:r>
      <w:proofErr w:type="spellStart"/>
      <w:r w:rsidR="00563740">
        <w:rPr>
          <w:rFonts w:ascii="Times New Roman" w:eastAsia="Times New Roman" w:hAnsi="Times New Roman" w:cs="Times New Roman"/>
          <w:color w:val="000000" w:themeColor="text1"/>
          <w:sz w:val="24"/>
          <w:szCs w:val="24"/>
          <w:lang w:eastAsia="ru-RU"/>
        </w:rPr>
        <w:t>Ершовского</w:t>
      </w:r>
      <w:proofErr w:type="spellEnd"/>
      <w:r w:rsidR="00563740">
        <w:rPr>
          <w:rFonts w:ascii="Times New Roman" w:eastAsia="Times New Roman" w:hAnsi="Times New Roman" w:cs="Times New Roman"/>
          <w:color w:val="000000" w:themeColor="text1"/>
          <w:sz w:val="24"/>
          <w:szCs w:val="24"/>
          <w:lang w:eastAsia="ru-RU"/>
        </w:rPr>
        <w:t xml:space="preserve"> муниципального района</w:t>
      </w:r>
      <w:r w:rsidR="00A6145F">
        <w:rPr>
          <w:rFonts w:ascii="Times New Roman" w:eastAsia="Times New Roman" w:hAnsi="Times New Roman" w:cs="Times New Roman"/>
          <w:color w:val="000000" w:themeColor="text1"/>
          <w:sz w:val="24"/>
          <w:szCs w:val="24"/>
          <w:lang w:eastAsia="ru-RU"/>
        </w:rPr>
        <w:t xml:space="preserve"> от 03.08.2012г. с дополнениями от 02.10.2014г. №13-92 «Положения о контрольно-счетной комиссии </w:t>
      </w:r>
      <w:proofErr w:type="spellStart"/>
      <w:r w:rsidR="00A6145F">
        <w:rPr>
          <w:rFonts w:ascii="Times New Roman" w:eastAsia="Times New Roman" w:hAnsi="Times New Roman" w:cs="Times New Roman"/>
          <w:color w:val="000000" w:themeColor="text1"/>
          <w:sz w:val="24"/>
          <w:szCs w:val="24"/>
          <w:lang w:eastAsia="ru-RU"/>
        </w:rPr>
        <w:t>Ершовского</w:t>
      </w:r>
      <w:proofErr w:type="spellEnd"/>
      <w:r w:rsidR="00A6145F">
        <w:rPr>
          <w:rFonts w:ascii="Times New Roman" w:eastAsia="Times New Roman" w:hAnsi="Times New Roman" w:cs="Times New Roman"/>
          <w:color w:val="000000" w:themeColor="text1"/>
          <w:sz w:val="24"/>
          <w:szCs w:val="24"/>
          <w:lang w:eastAsia="ru-RU"/>
        </w:rPr>
        <w:t xml:space="preserve"> </w:t>
      </w:r>
      <w:r w:rsidR="00A6145F">
        <w:rPr>
          <w:rFonts w:ascii="Times New Roman" w:eastAsia="Times New Roman" w:hAnsi="Times New Roman" w:cs="Times New Roman"/>
          <w:color w:val="000000" w:themeColor="text1"/>
          <w:sz w:val="24"/>
          <w:szCs w:val="24"/>
          <w:lang w:eastAsia="ru-RU"/>
        </w:rPr>
        <w:lastRenderedPageBreak/>
        <w:t>муниципального района»</w:t>
      </w:r>
      <w:r w:rsidRPr="00B13606">
        <w:rPr>
          <w:rFonts w:ascii="Times New Roman" w:eastAsia="Times New Roman" w:hAnsi="Times New Roman" w:cs="Times New Roman"/>
          <w:color w:val="000000" w:themeColor="text1"/>
          <w:sz w:val="24"/>
          <w:szCs w:val="24"/>
          <w:lang w:eastAsia="ru-RU"/>
        </w:rPr>
        <w:t xml:space="preserve">, относящиеся к полномочиям контрольно-счетной </w:t>
      </w:r>
      <w:r w:rsidR="00A6145F">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3.2. Объекты аудита в сфере закупок определены ст.266.1 Бюджетного кодекса Российской Федерации, с учетом действия положений Федерального закона № 44-ФЗ.</w:t>
      </w:r>
    </w:p>
    <w:p w:rsidR="00B13606" w:rsidRPr="00B13606" w:rsidRDefault="00B13606" w:rsidP="002C5511">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4. Этапы и процедуры организац</w:t>
      </w:r>
      <w:proofErr w:type="gramStart"/>
      <w:r w:rsidRPr="00B13606">
        <w:rPr>
          <w:rFonts w:ascii="Times New Roman" w:eastAsia="Times New Roman" w:hAnsi="Times New Roman" w:cs="Times New Roman"/>
          <w:b/>
          <w:bCs/>
          <w:color w:val="000000" w:themeColor="text1"/>
          <w:sz w:val="24"/>
          <w:szCs w:val="24"/>
          <w:bdr w:val="none" w:sz="0" w:space="0" w:color="auto" w:frame="1"/>
          <w:lang w:eastAsia="ru-RU"/>
        </w:rPr>
        <w:t>ии ау</w:t>
      </w:r>
      <w:proofErr w:type="gramEnd"/>
      <w:r w:rsidRPr="00B13606">
        <w:rPr>
          <w:rFonts w:ascii="Times New Roman" w:eastAsia="Times New Roman" w:hAnsi="Times New Roman" w:cs="Times New Roman"/>
          <w:b/>
          <w:bCs/>
          <w:color w:val="000000" w:themeColor="text1"/>
          <w:sz w:val="24"/>
          <w:szCs w:val="24"/>
          <w:bdr w:val="none" w:sz="0" w:space="0" w:color="auto" w:frame="1"/>
          <w:lang w:eastAsia="ru-RU"/>
        </w:rPr>
        <w:t>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4.1. Аудит в сфере закупок проводится на основании плана работы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Сроки проведения аудита в сфере закупок определяются в соответствии с нормативно-правовыми актами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и нормативно-правовыми актами муниципального образования.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4.2. </w:t>
      </w:r>
      <w:proofErr w:type="gramStart"/>
      <w:r w:rsidRPr="00B13606">
        <w:rPr>
          <w:rFonts w:ascii="Times New Roman" w:eastAsia="Times New Roman" w:hAnsi="Times New Roman" w:cs="Times New Roman"/>
          <w:color w:val="000000" w:themeColor="text1"/>
          <w:sz w:val="24"/>
          <w:szCs w:val="24"/>
          <w:lang w:eastAsia="ru-RU"/>
        </w:rPr>
        <w:t xml:space="preserve">Аудит в сфере закупок проводится на основе информации и материалов, получаемых по запросам, и (или) на основе информации, размещённой в единой информационной системе в сфере закупок, указанной в части 3 статьи 4 Федерального закона № 44-ФЗ с использованием официального сайта </w:t>
      </w:r>
      <w:proofErr w:type="spellStart"/>
      <w:r w:rsidRPr="00B13606">
        <w:rPr>
          <w:rFonts w:ascii="Times New Roman" w:eastAsia="Times New Roman" w:hAnsi="Times New Roman" w:cs="Times New Roman"/>
          <w:color w:val="000000" w:themeColor="text1"/>
          <w:sz w:val="24"/>
          <w:szCs w:val="24"/>
          <w:lang w:eastAsia="ru-RU"/>
        </w:rPr>
        <w:t>www.zakupki.gov.ru</w:t>
      </w:r>
      <w:proofErr w:type="spellEnd"/>
      <w:r w:rsidRPr="00B13606">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а также, при необходимости, непосредственно по месту расположения объектов аудита в сфере закупок.</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4.3. Организация аудита в сфере закупок включает три этапа, каждый из которых характеризуется выполнением определенных задач:</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подготовка к проведению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проведение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оформление результатов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4.4. На этапе подготовки к проведению аудита в сфере закупок проводится предварительное изучение предмета и объектов мероприятий, определяются цели, вопросы и методы проведения мероприятий. По итогам данного этапа готовятся предложения о включении мероприятий аудита в сфере закупок в план деятельности КС</w:t>
      </w:r>
      <w:r w:rsidR="001979FC">
        <w:rPr>
          <w:rFonts w:ascii="Times New Roman" w:eastAsia="Times New Roman" w:hAnsi="Times New Roman" w:cs="Times New Roman"/>
          <w:color w:val="000000" w:themeColor="text1"/>
          <w:sz w:val="24"/>
          <w:szCs w:val="24"/>
          <w:lang w:eastAsia="ru-RU"/>
        </w:rPr>
        <w:t>К</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4.5. На этапе проведения аудита в сфере закупок осуществляется сбор и исследование фактических данных и информации по предмету мероприятия аудита в сфере закупок составляется заключение, фиксирующее результаты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В процессе формирования доказательств проводится работа по сбору информации и фактических данных в соответствии целью и вопросами аудита в сфере закупок, по проверке их полноты, точности, объективности,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w:t>
      </w:r>
      <w:proofErr w:type="gramEnd"/>
      <w:r w:rsidRPr="00B13606">
        <w:rPr>
          <w:rFonts w:ascii="Times New Roman" w:eastAsia="Times New Roman" w:hAnsi="Times New Roman" w:cs="Times New Roman"/>
          <w:color w:val="000000" w:themeColor="text1"/>
          <w:sz w:val="24"/>
          <w:szCs w:val="24"/>
          <w:lang w:eastAsia="ru-RU"/>
        </w:rPr>
        <w:t xml:space="preserve"> по планируемым к заключению, заключенным и исполненным контрактам объекта аудита на основе используемых показателей и критериев. Если собранных фактических данных недостаточно, проводится сбор дополнительной информации.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В ходе непосредственного проведения аудита в сфере закупок осуществляется рассмотрение деятельности объекта аудита в части, касающейся: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планирования закупок товаров, работ,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 определения поставщиков (подрядчиков, исполнителей);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3) заключения гражданско-правового договора (контракта), предметом которого являются поставка товара, выполнение работы, оказание услуги, от имени муниципального образования, а также бюджетным учреждением либо иным юридическим лицом, определённом в статье 15 Федерального закона</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44-ФЗ;</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 исполнения договоров (контрактов);</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 мониторинга закупок товаров, работ,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При этом должностными лицами контрольно-счетной палаты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w:t>
      </w:r>
      <w:r w:rsidRPr="00B13606">
        <w:rPr>
          <w:rFonts w:ascii="Times New Roman" w:eastAsia="Times New Roman" w:hAnsi="Times New Roman" w:cs="Times New Roman"/>
          <w:color w:val="000000" w:themeColor="text1"/>
          <w:sz w:val="24"/>
          <w:szCs w:val="24"/>
          <w:lang w:eastAsia="ru-RU"/>
        </w:rPr>
        <w:lastRenderedPageBreak/>
        <w:t>аудита в сфере закупок с учётом указанных этапов устанавливается на период финансового года, а в случае заключения долгосрочных контрактов, то на плановые периоды последующих лет, следующих после финансового года.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4.6. На этапе оформления результатов аудита в сфере закупок осуществляется подготовка заключения о результатах аудита в сфере закупок, а также, при необходимости, проектов информационных писем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На данном этапе осуществляется систематизация доказательств и оформление заключения с выводами и рекомендациями по результатам аудита в сфере закупок, которое должно включать в себя: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критер</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 аудиторские доказательства;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3) результаты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 оценку результатов закупок, достижения целей осуществления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 выводы и рекомендации по законности, целесообразности, обоснованности, своевременности, эффективности и результативности расходов на закупки.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4.7.Если при проведен</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 xml:space="preserve">дита в сфере закупок должностные лица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4.7.1. 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или плановой проверки.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4.7.2.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передается с материалами в правоохранительные органы.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Продолжительность проведения каждого из указанных этапов зависит от особенностей предмета мероприятия.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4.8. Общую организацию аудита в сфере закупок, а также составление ежеквартального отчета о результатах аудита в сфере закупок в соответствии с планом работы контрольно-счетной палаты, осуществляет должностное лицо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ответственное за его проведение в соответствии с планом работы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Непосредственное руководство проведением аудита в сфере закупок и координацию действий сотрудников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и лиц, привлекаемых к участию в проведении мероприятия, осуществляет руководитель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4.9. В аудите в сфере закупок не имеют права принимать участие сотрудники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состоящие в родственной связи с руководством объектов аудита в сфере закупо</w:t>
      </w:r>
      <w:proofErr w:type="gramStart"/>
      <w:r w:rsidRPr="00B13606">
        <w:rPr>
          <w:rFonts w:ascii="Times New Roman" w:eastAsia="Times New Roman" w:hAnsi="Times New Roman" w:cs="Times New Roman"/>
          <w:color w:val="000000" w:themeColor="text1"/>
          <w:sz w:val="24"/>
          <w:szCs w:val="24"/>
          <w:lang w:eastAsia="ru-RU"/>
        </w:rPr>
        <w:t>к(</w:t>
      </w:r>
      <w:proofErr w:type="gramEnd"/>
      <w:r w:rsidRPr="00B13606">
        <w:rPr>
          <w:rFonts w:ascii="Times New Roman" w:eastAsia="Times New Roman" w:hAnsi="Times New Roman" w:cs="Times New Roman"/>
          <w:color w:val="000000" w:themeColor="text1"/>
          <w:sz w:val="24"/>
          <w:szCs w:val="24"/>
          <w:lang w:eastAsia="ru-RU"/>
        </w:rPr>
        <w:t xml:space="preserve">они обязаны заявить о наличии таких связей). Запрещается привлекать к участию в аудите в сфере закупок сотрудников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которые в исследуемом периоде были штатными сотрудниками одного из объектов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В случае если в ходе подготовки к проведению и проведения аудита в сфере закупок планируется использование сведений, составляющих государственную тайну, в данном мероприятии должны принимать участие сотрудники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имеющие оформленный в установленном порядке допуск к таким сведениям.</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4.10. 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lastRenderedPageBreak/>
        <w:t>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При этом должностные лица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должны учитывать следующие ограничения в случае принятия решения о привлечении внешних экспертов, которые не могут быть допущены к проведению экспертизы: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физические лица: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б) имеющие имущественные интересы в заключени</w:t>
      </w:r>
      <w:proofErr w:type="gramStart"/>
      <w:r w:rsidRPr="00B13606">
        <w:rPr>
          <w:rFonts w:ascii="Times New Roman" w:eastAsia="Times New Roman" w:hAnsi="Times New Roman" w:cs="Times New Roman"/>
          <w:color w:val="000000" w:themeColor="text1"/>
          <w:sz w:val="24"/>
          <w:szCs w:val="24"/>
          <w:lang w:eastAsia="ru-RU"/>
        </w:rPr>
        <w:t>и</w:t>
      </w:r>
      <w:proofErr w:type="gramEnd"/>
      <w:r w:rsidRPr="00B13606">
        <w:rPr>
          <w:rFonts w:ascii="Times New Roman" w:eastAsia="Times New Roman" w:hAnsi="Times New Roman" w:cs="Times New Roman"/>
          <w:color w:val="000000" w:themeColor="text1"/>
          <w:sz w:val="24"/>
          <w:szCs w:val="24"/>
          <w:lang w:eastAsia="ru-RU"/>
        </w:rPr>
        <w:t xml:space="preserve"> контракта, в отношении которого проводится экспертиза;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3606">
        <w:rPr>
          <w:rFonts w:ascii="Times New Roman" w:eastAsia="Times New Roman" w:hAnsi="Times New Roman" w:cs="Times New Roman"/>
          <w:color w:val="000000" w:themeColor="text1"/>
          <w:sz w:val="24"/>
          <w:szCs w:val="24"/>
          <w:lang w:eastAsia="ru-RU"/>
        </w:rPr>
        <w:t>неполнородными</w:t>
      </w:r>
      <w:proofErr w:type="spellEnd"/>
      <w:r w:rsidRPr="00B13606">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3) физические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В случае выявления в составе внешних экспертов указанных лиц, должностные лица контрольно-счетной палаты должны принять незамедлительные меры, направленные на привлечение для проведения экспертизы иного внешнего эксперта.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4.11. </w:t>
      </w:r>
      <w:proofErr w:type="gramStart"/>
      <w:r w:rsidRPr="00B13606">
        <w:rPr>
          <w:rFonts w:ascii="Times New Roman" w:eastAsia="Times New Roman" w:hAnsi="Times New Roman" w:cs="Times New Roman"/>
          <w:color w:val="000000" w:themeColor="text1"/>
          <w:sz w:val="24"/>
          <w:szCs w:val="24"/>
          <w:lang w:eastAsia="ru-RU"/>
        </w:rPr>
        <w:t xml:space="preserve">В ходе подготовки к проведению аудита в сфере закупок формируется рабочая документация мероприятия, к которой относятся документы (их копии) и иные материалы, получаемые от объектов аудита в сфере закупок, других государственных органов, организаций и учреждений, а также документы (справки, расчеты, аналитические записки и т. д.), подготовленные сотрудниками контрольно-счетной </w:t>
      </w:r>
      <w:r w:rsidR="001979FC">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самостоятельно на основе собранных фактических данных и информации.</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Сформированная рабочая документация включается в дело мероприятия и систематизируется в нем в порядке, отражающем последовательность осуществления процедур подготовки и проведения мероприятия.</w:t>
      </w:r>
    </w:p>
    <w:p w:rsidR="00B13606" w:rsidRPr="00B13606" w:rsidRDefault="00B13606" w:rsidP="002C5511">
      <w:pPr>
        <w:spacing w:after="0" w:line="225" w:lineRule="atLeast"/>
        <w:textAlignment w:val="baseline"/>
        <w:outlineLvl w:val="2"/>
        <w:rPr>
          <w:rFonts w:ascii="Times New Roman" w:eastAsia="Times New Roman" w:hAnsi="Times New Roman" w:cs="Times New Roman"/>
          <w:b/>
          <w:bCs/>
          <w:color w:val="000000" w:themeColor="text1"/>
          <w:sz w:val="24"/>
          <w:szCs w:val="24"/>
          <w:lang w:eastAsia="ru-RU"/>
        </w:rPr>
      </w:pPr>
      <w:r w:rsidRPr="00B13606">
        <w:rPr>
          <w:rFonts w:ascii="Times New Roman" w:eastAsia="Times New Roman" w:hAnsi="Times New Roman" w:cs="Times New Roman"/>
          <w:b/>
          <w:bCs/>
          <w:color w:val="000000" w:themeColor="text1"/>
          <w:sz w:val="24"/>
          <w:szCs w:val="24"/>
          <w:bdr w:val="none" w:sz="0" w:space="0" w:color="auto" w:frame="1"/>
          <w:lang w:eastAsia="ru-RU"/>
        </w:rPr>
        <w:t>5. Требования к оформлению результатов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5.1. </w:t>
      </w:r>
      <w:proofErr w:type="gramStart"/>
      <w:r w:rsidRPr="00B13606">
        <w:rPr>
          <w:rFonts w:ascii="Times New Roman" w:eastAsia="Times New Roman" w:hAnsi="Times New Roman" w:cs="Times New Roman"/>
          <w:color w:val="000000" w:themeColor="text1"/>
          <w:sz w:val="24"/>
          <w:szCs w:val="24"/>
          <w:lang w:eastAsia="ru-RU"/>
        </w:rPr>
        <w:t>Подготовку результатов аудита в сфере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По итогам этого сравнения должностными лицами контрольно-счетной </w:t>
      </w:r>
      <w:r w:rsidR="009212CB">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готовятся выводы, которые должны указывать на законность, целесообразность, </w:t>
      </w:r>
      <w:r w:rsidRPr="00B13606">
        <w:rPr>
          <w:rFonts w:ascii="Times New Roman" w:eastAsia="Times New Roman" w:hAnsi="Times New Roman" w:cs="Times New Roman"/>
          <w:color w:val="000000" w:themeColor="text1"/>
          <w:sz w:val="24"/>
          <w:szCs w:val="24"/>
          <w:lang w:eastAsia="ru-RU"/>
        </w:rPr>
        <w:lastRenderedPageBreak/>
        <w:t>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При этом установленные критер</w:t>
      </w:r>
      <w:proofErr w:type="gramStart"/>
      <w:r w:rsidRPr="00B13606">
        <w:rPr>
          <w:rFonts w:ascii="Times New Roman" w:eastAsia="Times New Roman" w:hAnsi="Times New Roman" w:cs="Times New Roman"/>
          <w:color w:val="000000" w:themeColor="text1"/>
          <w:sz w:val="24"/>
          <w:szCs w:val="24"/>
          <w:lang w:eastAsia="ru-RU"/>
        </w:rPr>
        <w:t>ии ау</w:t>
      </w:r>
      <w:proofErr w:type="gramEnd"/>
      <w:r w:rsidRPr="00B13606">
        <w:rPr>
          <w:rFonts w:ascii="Times New Roman" w:eastAsia="Times New Roman" w:hAnsi="Times New Roman" w:cs="Times New Roman"/>
          <w:color w:val="000000" w:themeColor="text1"/>
          <w:sz w:val="24"/>
          <w:szCs w:val="24"/>
          <w:lang w:eastAsia="ru-RU"/>
        </w:rPr>
        <w:t>дита в сфере закупок должны быть объективными, четкими, сравнимыми, достаточными позволяющими сделать всесторонние выводы о результатах закупок, достижению целей осуществления закупок определенных в соответствии со ст. 13 Федерального закона № 44-ФЗ.</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 44-ФЗ. Их </w:t>
      </w:r>
      <w:proofErr w:type="spellStart"/>
      <w:r w:rsidRPr="00B13606">
        <w:rPr>
          <w:rFonts w:ascii="Times New Roman" w:eastAsia="Times New Roman" w:hAnsi="Times New Roman" w:cs="Times New Roman"/>
          <w:color w:val="000000" w:themeColor="text1"/>
          <w:sz w:val="24"/>
          <w:szCs w:val="24"/>
          <w:lang w:eastAsia="ru-RU"/>
        </w:rPr>
        <w:t>недостижение</w:t>
      </w:r>
      <w:proofErr w:type="spellEnd"/>
      <w:r w:rsidRPr="00B13606">
        <w:rPr>
          <w:rFonts w:ascii="Times New Roman" w:eastAsia="Times New Roman" w:hAnsi="Times New Roman" w:cs="Times New Roman"/>
          <w:color w:val="000000" w:themeColor="text1"/>
          <w:sz w:val="24"/>
          <w:szCs w:val="24"/>
          <w:lang w:eastAsia="ru-RU"/>
        </w:rPr>
        <w:t xml:space="preserve"> свидетельствует, в том числе, о наличии причин отклонений, нарушений и недостатков в сфере закупок объекта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В случае выявления отклонений, недостатков и нарушений в заключении должны содержаться конкретные факты, свидетельствующие о </w:t>
      </w:r>
      <w:proofErr w:type="spellStart"/>
      <w:r w:rsidRPr="00B13606">
        <w:rPr>
          <w:rFonts w:ascii="Times New Roman" w:eastAsia="Times New Roman" w:hAnsi="Times New Roman" w:cs="Times New Roman"/>
          <w:color w:val="000000" w:themeColor="text1"/>
          <w:sz w:val="24"/>
          <w:szCs w:val="24"/>
          <w:lang w:eastAsia="ru-RU"/>
        </w:rPr>
        <w:t>недостижении</w:t>
      </w:r>
      <w:proofErr w:type="spellEnd"/>
      <w:r w:rsidRPr="00B13606">
        <w:rPr>
          <w:rFonts w:ascii="Times New Roman" w:eastAsia="Times New Roman" w:hAnsi="Times New Roman" w:cs="Times New Roman"/>
          <w:color w:val="000000" w:themeColor="text1"/>
          <w:sz w:val="24"/>
          <w:szCs w:val="24"/>
          <w:lang w:eastAsia="ru-RU"/>
        </w:rPr>
        <w:t xml:space="preserve"> целей осуществления закупок, определенных в соответствии со статьей 13 Федерального закона № 44-ФЗ.</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2) определять причины выявленных недостатков и нарушений, которые привели к </w:t>
      </w:r>
      <w:proofErr w:type="spellStart"/>
      <w:r w:rsidRPr="00B13606">
        <w:rPr>
          <w:rFonts w:ascii="Times New Roman" w:eastAsia="Times New Roman" w:hAnsi="Times New Roman" w:cs="Times New Roman"/>
          <w:color w:val="000000" w:themeColor="text1"/>
          <w:sz w:val="24"/>
          <w:szCs w:val="24"/>
          <w:lang w:eastAsia="ru-RU"/>
        </w:rPr>
        <w:t>недостижению</w:t>
      </w:r>
      <w:proofErr w:type="spellEnd"/>
      <w:r w:rsidRPr="00B13606">
        <w:rPr>
          <w:rFonts w:ascii="Times New Roman" w:eastAsia="Times New Roman" w:hAnsi="Times New Roman" w:cs="Times New Roman"/>
          <w:color w:val="000000" w:themeColor="text1"/>
          <w:sz w:val="24"/>
          <w:szCs w:val="24"/>
          <w:lang w:eastAsia="ru-RU"/>
        </w:rPr>
        <w:t xml:space="preserve"> целей осуществления закупок, определенных в соответствии со статьей 13 Федерального закона № 44-ФЗ, и последствия, которые эти недостатки и (или) нарушения влекут или могут повлечь за собой;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5.2. Подготовка предложений является завершающей процедурой формирования результатов аудита в сфере закупок. В случае</w:t>
      </w:r>
      <w:proofErr w:type="gramStart"/>
      <w:r w:rsidRPr="00B13606">
        <w:rPr>
          <w:rFonts w:ascii="Times New Roman" w:eastAsia="Times New Roman" w:hAnsi="Times New Roman" w:cs="Times New Roman"/>
          <w:color w:val="000000" w:themeColor="text1"/>
          <w:sz w:val="24"/>
          <w:szCs w:val="24"/>
          <w:lang w:eastAsia="ru-RU"/>
        </w:rPr>
        <w:t>,</w:t>
      </w:r>
      <w:proofErr w:type="gramEnd"/>
      <w:r w:rsidRPr="00B13606">
        <w:rPr>
          <w:rFonts w:ascii="Times New Roman" w:eastAsia="Times New Roman" w:hAnsi="Times New Roman" w:cs="Times New Roman"/>
          <w:color w:val="000000" w:themeColor="text1"/>
          <w:sz w:val="24"/>
          <w:szCs w:val="24"/>
          <w:lang w:eastAsia="ru-RU"/>
        </w:rPr>
        <w:t xml:space="preserve"> если в ходе аудита в сфере закупок выявлены отклонения, недостатки, нарушения, а сделанные выводы указывают на возможность совершенствование контрактной системы, должностные лица контрольно-счетной </w:t>
      </w:r>
      <w:r w:rsidR="009212CB">
        <w:rPr>
          <w:rFonts w:ascii="Times New Roman" w:eastAsia="Times New Roman" w:hAnsi="Times New Roman" w:cs="Times New Roman"/>
          <w:color w:val="000000" w:themeColor="text1"/>
          <w:sz w:val="24"/>
          <w:szCs w:val="24"/>
          <w:lang w:eastAsia="ru-RU"/>
        </w:rPr>
        <w:t>комиссии</w:t>
      </w:r>
      <w:r w:rsidRPr="00B13606">
        <w:rPr>
          <w:rFonts w:ascii="Times New Roman" w:eastAsia="Times New Roman" w:hAnsi="Times New Roman" w:cs="Times New Roman"/>
          <w:color w:val="000000" w:themeColor="text1"/>
          <w:sz w:val="24"/>
          <w:szCs w:val="24"/>
          <w:lang w:eastAsia="ru-RU"/>
        </w:rPr>
        <w:t xml:space="preserve">, с учетом положений статьи 268.1. </w:t>
      </w:r>
      <w:proofErr w:type="gramStart"/>
      <w:r w:rsidRPr="00B13606">
        <w:rPr>
          <w:rFonts w:ascii="Times New Roman" w:eastAsia="Times New Roman" w:hAnsi="Times New Roman" w:cs="Times New Roman"/>
          <w:color w:val="000000" w:themeColor="text1"/>
          <w:sz w:val="24"/>
          <w:szCs w:val="24"/>
          <w:lang w:eastAsia="ru-RU"/>
        </w:rPr>
        <w:t>Бюджетного кодекса Российской Федерации,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w:t>
      </w:r>
      <w:proofErr w:type="gramEnd"/>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proofErr w:type="gramStart"/>
      <w:r w:rsidRPr="00B13606">
        <w:rPr>
          <w:rFonts w:ascii="Times New Roman" w:eastAsia="Times New Roman" w:hAnsi="Times New Roman" w:cs="Times New Roman"/>
          <w:color w:val="000000" w:themeColor="text1"/>
          <w:sz w:val="24"/>
          <w:szCs w:val="24"/>
          <w:lang w:eastAsia="ru-RU"/>
        </w:rPr>
        <w:t>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контрольно-счетной палаты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w:t>
      </w:r>
      <w:proofErr w:type="gramEnd"/>
      <w:r w:rsidRPr="00B13606">
        <w:rPr>
          <w:rFonts w:ascii="Times New Roman" w:eastAsia="Times New Roman" w:hAnsi="Times New Roman" w:cs="Times New Roman"/>
          <w:color w:val="000000" w:themeColor="text1"/>
          <w:sz w:val="24"/>
          <w:szCs w:val="24"/>
          <w:lang w:eastAsia="ru-RU"/>
        </w:rPr>
        <w:t xml:space="preserve"> системы в целях более высокого повышения эффективности, результативности осуществления закупок товаров, работ, услуг объекта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Содержание предложений должно соответствовать поставленным целям аудита в сфере закупок и основываться на выводах, сделанных по результатам аудита в сфере закупок. Предложения необходимо формулировать таким образом, чтобы они были: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lastRenderedPageBreak/>
        <w:t>1) направлены на устранение причин существования выявленного недостатка, нарушений или проблем отклонения;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2) обращены в адрес объектов аудита, должностных лиц, в компетенцию и полномочия которых входит их выполнение;</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3) ориентированы на принятие объектами аудита конкретных мер по устранению выявленных недостатков, нарушений и устранения причин отклонений;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4) экономически </w:t>
      </w:r>
      <w:proofErr w:type="gramStart"/>
      <w:r w:rsidRPr="00B13606">
        <w:rPr>
          <w:rFonts w:ascii="Times New Roman" w:eastAsia="Times New Roman" w:hAnsi="Times New Roman" w:cs="Times New Roman"/>
          <w:color w:val="000000" w:themeColor="text1"/>
          <w:sz w:val="24"/>
          <w:szCs w:val="24"/>
          <w:lang w:eastAsia="ru-RU"/>
        </w:rPr>
        <w:t>эффективными</w:t>
      </w:r>
      <w:proofErr w:type="gramEnd"/>
      <w:r w:rsidRPr="00B13606">
        <w:rPr>
          <w:rFonts w:ascii="Times New Roman" w:eastAsia="Times New Roman" w:hAnsi="Times New Roman" w:cs="Times New Roman"/>
          <w:color w:val="000000" w:themeColor="text1"/>
          <w:sz w:val="24"/>
          <w:szCs w:val="24"/>
          <w:lang w:eastAsia="ru-RU"/>
        </w:rPr>
        <w:t>, то есть расходы, связанные с их выполнением, не должны превышать получаемую выгоду, направленную для обеспечения муниципальных нужд;</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 направлены на получение результатов от их внедрения, которые можно оценить или измерить;</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 xml:space="preserve">6) </w:t>
      </w:r>
      <w:proofErr w:type="gramStart"/>
      <w:r w:rsidRPr="00B13606">
        <w:rPr>
          <w:rFonts w:ascii="Times New Roman" w:eastAsia="Times New Roman" w:hAnsi="Times New Roman" w:cs="Times New Roman"/>
          <w:color w:val="000000" w:themeColor="text1"/>
          <w:sz w:val="24"/>
          <w:szCs w:val="24"/>
          <w:lang w:eastAsia="ru-RU"/>
        </w:rPr>
        <w:t>четкими</w:t>
      </w:r>
      <w:proofErr w:type="gramEnd"/>
      <w:r w:rsidRPr="00B13606">
        <w:rPr>
          <w:rFonts w:ascii="Times New Roman" w:eastAsia="Times New Roman" w:hAnsi="Times New Roman" w:cs="Times New Roman"/>
          <w:color w:val="000000" w:themeColor="text1"/>
          <w:sz w:val="24"/>
          <w:szCs w:val="24"/>
          <w:lang w:eastAsia="ru-RU"/>
        </w:rPr>
        <w:t xml:space="preserve"> и простыми по форме.</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Количество предложений определяется содержанием и масштабом аудита в сфере закупок конкретного объекта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5.3. Подготовка и оформление заключения о результатах аудита в сфере закупок является завершающей процедурой его проведения.</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Заключение состоит из вводной и содержательной частей. Во вводной части заключения указываются реквизиты документов, на основании и с учетом которых проведен аудит в сфере закупок, перечень дополнительно запрошенных и (или) изученных в ходе аудита в сфере закупок документов, материалы которых были учтены при подготовке заключения, сведения о привлеченных экспертах, описывается объект аудита.</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В содержательной части заключения излагаются результаты проведенного аудита в сфере закупок в части, делаются выводы и даются рекомендации.</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 44-ФЗ, а также указывать конкретные причины обнаруженных отклонений, недостатков, нарушений или возможные последствия выявленных отклонений, недостатков, нарушений.</w:t>
      </w:r>
    </w:p>
    <w:p w:rsidR="00B13606" w:rsidRPr="00B13606" w:rsidRDefault="00B13606" w:rsidP="002C5511">
      <w:pPr>
        <w:spacing w:after="0" w:line="225" w:lineRule="atLeast"/>
        <w:textAlignment w:val="baseline"/>
        <w:rPr>
          <w:rFonts w:ascii="Times New Roman" w:eastAsia="Times New Roman" w:hAnsi="Times New Roman" w:cs="Times New Roman"/>
          <w:color w:val="000000" w:themeColor="text1"/>
          <w:sz w:val="24"/>
          <w:szCs w:val="24"/>
          <w:lang w:eastAsia="ru-RU"/>
        </w:rPr>
      </w:pPr>
      <w:r w:rsidRPr="00B13606">
        <w:rPr>
          <w:rFonts w:ascii="Times New Roman" w:eastAsia="Times New Roman" w:hAnsi="Times New Roman" w:cs="Times New Roman"/>
          <w:color w:val="000000" w:themeColor="text1"/>
          <w:sz w:val="24"/>
          <w:szCs w:val="24"/>
          <w:lang w:eastAsia="ru-RU"/>
        </w:rPr>
        <w:t>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государственных органов, муниципальных органов, организаций и учреждений, заинтересованных в результатах аудита в сфере закупок</w:t>
      </w:r>
      <w:r w:rsidR="009212CB">
        <w:rPr>
          <w:rFonts w:ascii="Times New Roman" w:eastAsia="Times New Roman" w:hAnsi="Times New Roman" w:cs="Times New Roman"/>
          <w:color w:val="000000" w:themeColor="text1"/>
          <w:sz w:val="24"/>
          <w:szCs w:val="24"/>
          <w:lang w:eastAsia="ru-RU"/>
        </w:rPr>
        <w:t xml:space="preserve"> </w:t>
      </w:r>
      <w:proofErr w:type="spellStart"/>
      <w:r w:rsidR="009212CB">
        <w:rPr>
          <w:rFonts w:ascii="Times New Roman" w:eastAsia="Times New Roman" w:hAnsi="Times New Roman" w:cs="Times New Roman"/>
          <w:color w:val="000000" w:themeColor="text1"/>
          <w:sz w:val="24"/>
          <w:szCs w:val="24"/>
          <w:lang w:eastAsia="ru-RU"/>
        </w:rPr>
        <w:t>Ершовского</w:t>
      </w:r>
      <w:proofErr w:type="spellEnd"/>
      <w:r w:rsidR="009212CB">
        <w:rPr>
          <w:rFonts w:ascii="Times New Roman" w:eastAsia="Times New Roman" w:hAnsi="Times New Roman" w:cs="Times New Roman"/>
          <w:color w:val="000000" w:themeColor="text1"/>
          <w:sz w:val="24"/>
          <w:szCs w:val="24"/>
          <w:lang w:eastAsia="ru-RU"/>
        </w:rPr>
        <w:t xml:space="preserve"> муниципального района</w:t>
      </w:r>
      <w:r w:rsidRPr="00B13606">
        <w:rPr>
          <w:rFonts w:ascii="Times New Roman" w:eastAsia="Times New Roman" w:hAnsi="Times New Roman" w:cs="Times New Roman"/>
          <w:color w:val="000000" w:themeColor="text1"/>
          <w:sz w:val="24"/>
          <w:szCs w:val="24"/>
          <w:lang w:eastAsia="ru-RU"/>
        </w:rPr>
        <w:t>.</w:t>
      </w:r>
    </w:p>
    <w:p w:rsidR="00C12215" w:rsidRPr="001E4154" w:rsidRDefault="00C12215" w:rsidP="002C5511">
      <w:pPr>
        <w:spacing w:after="0"/>
        <w:rPr>
          <w:rFonts w:ascii="Times New Roman" w:hAnsi="Times New Roman" w:cs="Times New Roman"/>
          <w:color w:val="000000" w:themeColor="text1"/>
          <w:sz w:val="24"/>
          <w:szCs w:val="24"/>
        </w:rPr>
      </w:pPr>
    </w:p>
    <w:sectPr w:rsidR="00C12215" w:rsidRPr="001E4154" w:rsidSect="00C12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3606"/>
    <w:rsid w:val="00036525"/>
    <w:rsid w:val="00063AC3"/>
    <w:rsid w:val="001979FC"/>
    <w:rsid w:val="001E4154"/>
    <w:rsid w:val="00240A0E"/>
    <w:rsid w:val="002C5511"/>
    <w:rsid w:val="00563740"/>
    <w:rsid w:val="006F3D26"/>
    <w:rsid w:val="00812EBA"/>
    <w:rsid w:val="009212CB"/>
    <w:rsid w:val="009307A1"/>
    <w:rsid w:val="00A6145F"/>
    <w:rsid w:val="00B13606"/>
    <w:rsid w:val="00C12215"/>
    <w:rsid w:val="00CC05C7"/>
    <w:rsid w:val="00EC452C"/>
    <w:rsid w:val="00FD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15"/>
  </w:style>
  <w:style w:type="paragraph" w:styleId="3">
    <w:name w:val="heading 3"/>
    <w:basedOn w:val="a"/>
    <w:link w:val="30"/>
    <w:uiPriority w:val="9"/>
    <w:qFormat/>
    <w:rsid w:val="00B13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360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36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7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1E3E4-97CE-4C0C-A16E-1B59231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2015-08-06T11:17:00Z</cp:lastPrinted>
  <dcterms:created xsi:type="dcterms:W3CDTF">2015-08-06T09:35:00Z</dcterms:created>
  <dcterms:modified xsi:type="dcterms:W3CDTF">2015-08-06T11:18:00Z</dcterms:modified>
</cp:coreProperties>
</file>